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8FE98">
      <w:pPr>
        <w:spacing w:line="220" w:lineRule="auto"/>
        <w:rPr>
          <w:rFonts w:ascii="宋体" w:hAnsi="宋体" w:eastAsia="宋体" w:cs="宋体"/>
          <w:sz w:val="24"/>
          <w:szCs w:val="24"/>
        </w:rPr>
        <w:sectPr>
          <w:headerReference r:id="rId5" w:type="default"/>
          <w:footerReference r:id="rId6" w:type="default"/>
          <w:pgSz w:w="11907" w:h="16839"/>
          <w:pgMar w:top="400" w:right="1595" w:bottom="743" w:left="1426" w:header="0" w:footer="582" w:gutter="0"/>
          <w:cols w:space="720" w:num="1"/>
        </w:sectPr>
      </w:pPr>
    </w:p>
    <w:p w14:paraId="17F46F86">
      <w:pPr>
        <w:pStyle w:val="2"/>
        <w:spacing w:line="303" w:lineRule="auto"/>
      </w:pPr>
    </w:p>
    <w:p w14:paraId="7030B3C2">
      <w:pPr>
        <w:pStyle w:val="2"/>
        <w:spacing w:line="303" w:lineRule="auto"/>
      </w:pPr>
    </w:p>
    <w:p w14:paraId="1A447AD9">
      <w:pPr>
        <w:pStyle w:val="2"/>
        <w:spacing w:line="304" w:lineRule="auto"/>
      </w:pPr>
    </w:p>
    <w:p w14:paraId="7A1C238B">
      <w:pPr>
        <w:spacing w:before="78" w:line="220" w:lineRule="auto"/>
        <w:ind w:left="362"/>
        <w:rPr>
          <w:rFonts w:ascii="宋体" w:hAnsi="宋体" w:eastAsia="宋体" w:cs="宋体"/>
          <w:sz w:val="24"/>
          <w:szCs w:val="24"/>
        </w:rPr>
      </w:pPr>
      <w:r>
        <w:rPr>
          <w:rFonts w:ascii="Times New Roman" w:hAnsi="Times New Roman" w:eastAsia="Times New Roman" w:cs="Times New Roman"/>
          <w:spacing w:val="-5"/>
          <w:sz w:val="24"/>
          <w:szCs w:val="24"/>
        </w:rPr>
        <w:t xml:space="preserve">4  </w:t>
      </w:r>
      <w:r>
        <w:rPr>
          <w:rFonts w:ascii="宋体" w:hAnsi="宋体" w:eastAsia="宋体" w:cs="宋体"/>
          <w:spacing w:val="-5"/>
          <w:sz w:val="24"/>
          <w:szCs w:val="24"/>
        </w:rPr>
        <w:t>测定主要房间的照度；</w:t>
      </w:r>
    </w:p>
    <w:p w14:paraId="68672972">
      <w:pPr>
        <w:spacing w:before="153" w:line="220" w:lineRule="auto"/>
        <w:ind w:left="370"/>
        <w:rPr>
          <w:rFonts w:ascii="宋体" w:hAnsi="宋体" w:eastAsia="宋体" w:cs="宋体"/>
          <w:sz w:val="24"/>
          <w:szCs w:val="24"/>
        </w:rPr>
      </w:pP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检查用电设备远控、自控系统的联动效果；</w:t>
      </w:r>
    </w:p>
    <w:p w14:paraId="4645DC77">
      <w:pPr>
        <w:spacing w:before="154" w:line="220" w:lineRule="auto"/>
        <w:ind w:left="369"/>
        <w:rPr>
          <w:rFonts w:ascii="宋体" w:hAnsi="宋体" w:eastAsia="宋体" w:cs="宋体"/>
          <w:sz w:val="24"/>
          <w:szCs w:val="24"/>
        </w:rPr>
      </w:pP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测定各接地系统的接地电阻。</w:t>
      </w:r>
    </w:p>
    <w:p w14:paraId="3CACB7B0">
      <w:pPr>
        <w:spacing w:before="199" w:line="225" w:lineRule="auto"/>
        <w:ind w:left="129"/>
        <w:outlineLvl w:val="2"/>
        <w:rPr>
          <w:rFonts w:ascii="宋体" w:hAnsi="宋体" w:eastAsia="宋体" w:cs="宋体"/>
          <w:sz w:val="27"/>
          <w:szCs w:val="27"/>
        </w:rPr>
      </w:pPr>
      <w:bookmarkStart w:id="0" w:name="bookmark50"/>
      <w:bookmarkEnd w:id="0"/>
      <w:r>
        <w:rPr>
          <w:rFonts w:ascii="Times New Roman" w:hAnsi="Times New Roman" w:eastAsia="Times New Roman" w:cs="Times New Roman"/>
          <w:b/>
          <w:bCs/>
          <w:spacing w:val="5"/>
          <w:sz w:val="27"/>
          <w:szCs w:val="27"/>
        </w:rPr>
        <w:t>6.</w:t>
      </w:r>
      <w:r>
        <w:rPr>
          <w:rFonts w:ascii="宋体" w:hAnsi="宋体" w:eastAsia="宋体" w:cs="宋体"/>
          <w:b/>
          <w:bCs/>
          <w:spacing w:val="5"/>
          <w:sz w:val="27"/>
          <w:szCs w:val="27"/>
        </w:rPr>
        <w:t>《土方与爆破工程施工及验收规范》</w:t>
      </w:r>
      <w:r>
        <w:rPr>
          <w:rFonts w:ascii="宋体" w:hAnsi="宋体" w:eastAsia="宋体" w:cs="宋体"/>
          <w:spacing w:val="-75"/>
          <w:sz w:val="27"/>
          <w:szCs w:val="27"/>
        </w:rPr>
        <w:t xml:space="preserve"> </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5"/>
          <w:sz w:val="27"/>
          <w:szCs w:val="27"/>
        </w:rPr>
        <w:t>50201-2012</w:t>
      </w:r>
      <w:r>
        <w:rPr>
          <w:rFonts w:ascii="宋体" w:hAnsi="宋体" w:eastAsia="宋体" w:cs="宋体"/>
          <w:b/>
          <w:bCs/>
          <w:spacing w:val="5"/>
          <w:sz w:val="27"/>
          <w:szCs w:val="27"/>
        </w:rPr>
        <w:t>【强条已废】</w:t>
      </w:r>
    </w:p>
    <w:p w14:paraId="362512B8">
      <w:pPr>
        <w:spacing w:before="288" w:line="220" w:lineRule="auto"/>
        <w:ind w:left="116"/>
        <w:rPr>
          <w:rFonts w:ascii="宋体" w:hAnsi="宋体" w:eastAsia="宋体" w:cs="宋体"/>
          <w:sz w:val="24"/>
          <w:szCs w:val="24"/>
        </w:rPr>
      </w:pPr>
      <w:r>
        <w:rPr>
          <w:rFonts w:ascii="宋体" w:hAnsi="宋体" w:eastAsia="宋体" w:cs="宋体"/>
          <w:sz w:val="24"/>
          <w:szCs w:val="24"/>
        </w:rPr>
        <w:t>【</w:t>
      </w:r>
      <w:r>
        <w:rPr>
          <w:rFonts w:ascii="宋体" w:hAnsi="宋体" w:eastAsia="宋体" w:cs="宋体"/>
          <w:spacing w:val="-49"/>
          <w:sz w:val="24"/>
          <w:szCs w:val="24"/>
        </w:rPr>
        <w:t xml:space="preserve"> </w:t>
      </w:r>
      <w:r>
        <w:rPr>
          <w:rFonts w:ascii="宋体" w:hAnsi="宋体" w:eastAsia="宋体" w:cs="宋体"/>
          <w:color w:val="FF0000"/>
          <w:sz w:val="24"/>
          <w:szCs w:val="24"/>
        </w:rPr>
        <w:t>以下条目已被</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w:t>
      </w:r>
      <w:r>
        <w:rPr>
          <w:rFonts w:ascii="Times New Roman" w:hAnsi="Times New Roman" w:eastAsia="Times New Roman" w:cs="Times New Roman"/>
          <w:color w:val="0563C1"/>
          <w:spacing w:val="-1"/>
          <w:sz w:val="24"/>
          <w:szCs w:val="24"/>
          <w:u w:val="single" w:color="auto"/>
        </w:rPr>
        <w:t>03-2021</w:t>
      </w:r>
      <w:r>
        <w:rPr>
          <w:rFonts w:ascii="宋体" w:hAnsi="宋体" w:eastAsia="宋体" w:cs="宋体"/>
          <w:color w:val="FF0000"/>
          <w:spacing w:val="-1"/>
          <w:sz w:val="24"/>
          <w:szCs w:val="24"/>
        </w:rPr>
        <w:t>替代</w:t>
      </w:r>
      <w:r>
        <w:rPr>
          <w:rFonts w:ascii="宋体" w:hAnsi="宋体" w:eastAsia="宋体" w:cs="宋体"/>
          <w:spacing w:val="-1"/>
          <w:sz w:val="24"/>
          <w:szCs w:val="24"/>
        </w:rPr>
        <w:t>】</w:t>
      </w:r>
    </w:p>
    <w:p w14:paraId="7F7BFFFE">
      <w:pPr>
        <w:spacing w:before="154" w:line="279" w:lineRule="auto"/>
        <w:ind w:left="131" w:right="310" w:hanging="9"/>
        <w:rPr>
          <w:rFonts w:ascii="宋体" w:hAnsi="宋体" w:eastAsia="宋体" w:cs="宋体"/>
          <w:sz w:val="24"/>
          <w:szCs w:val="24"/>
        </w:rPr>
      </w:pPr>
      <w:r>
        <w:rPr>
          <w:rFonts w:ascii="Times New Roman" w:hAnsi="Times New Roman" w:eastAsia="Times New Roman" w:cs="Times New Roman"/>
          <w:strike/>
          <w:sz w:val="24"/>
          <w:szCs w:val="24"/>
        </w:rPr>
        <w:t xml:space="preserve">4.1.8    </w:t>
      </w:r>
      <w:r>
        <w:rPr>
          <w:rFonts w:ascii="宋体" w:hAnsi="宋体" w:eastAsia="宋体" w:cs="宋体"/>
          <w:strike/>
          <w:sz w:val="24"/>
          <w:szCs w:val="24"/>
        </w:rPr>
        <w:t>基坑、管沟边沿及边坡等危险地段施工时，应设置安全护栏和明显</w:t>
      </w:r>
      <w:r>
        <w:rPr>
          <w:rFonts w:ascii="宋体" w:hAnsi="宋体" w:eastAsia="宋体" w:cs="宋体"/>
          <w:strike/>
          <w:spacing w:val="-1"/>
          <w:sz w:val="24"/>
          <w:szCs w:val="24"/>
        </w:rPr>
        <w:t>警示标志。</w:t>
      </w:r>
      <w:r>
        <w:rPr>
          <w:rFonts w:ascii="宋体" w:hAnsi="宋体" w:eastAsia="宋体" w:cs="宋体"/>
          <w:sz w:val="24"/>
          <w:szCs w:val="24"/>
        </w:rPr>
        <w:t xml:space="preserve"> </w:t>
      </w:r>
      <w:r>
        <w:rPr>
          <w:rFonts w:ascii="宋体" w:hAnsi="宋体" w:eastAsia="宋体" w:cs="宋体"/>
          <w:strike/>
          <w:spacing w:val="-1"/>
          <w:sz w:val="24"/>
          <w:szCs w:val="24"/>
        </w:rPr>
        <w:t>夜间施工时，现场照明条件应满足施工需要。</w:t>
      </w:r>
    </w:p>
    <w:p w14:paraId="2963456D">
      <w:pPr>
        <w:spacing w:before="154" w:line="279" w:lineRule="auto"/>
        <w:ind w:left="126" w:right="310" w:hanging="4"/>
        <w:rPr>
          <w:rFonts w:ascii="宋体" w:hAnsi="宋体" w:eastAsia="宋体" w:cs="宋体"/>
          <w:sz w:val="24"/>
          <w:szCs w:val="24"/>
        </w:rPr>
      </w:pPr>
      <w:r>
        <w:rPr>
          <w:rFonts w:ascii="Times New Roman" w:hAnsi="Times New Roman" w:eastAsia="Times New Roman" w:cs="Times New Roman"/>
          <w:strike/>
          <w:sz w:val="24"/>
          <w:szCs w:val="24"/>
        </w:rPr>
        <w:t xml:space="preserve">4.5.4    </w:t>
      </w:r>
      <w:r>
        <w:rPr>
          <w:rFonts w:ascii="宋体" w:hAnsi="宋体" w:eastAsia="宋体" w:cs="宋体"/>
          <w:strike/>
          <w:sz w:val="24"/>
          <w:szCs w:val="24"/>
        </w:rPr>
        <w:t>土方回填应填筑压实，且压实系数应满足设计要求。当采用分层回</w:t>
      </w:r>
      <w:r>
        <w:rPr>
          <w:rFonts w:ascii="宋体" w:hAnsi="宋体" w:eastAsia="宋体" w:cs="宋体"/>
          <w:strike/>
          <w:spacing w:val="-1"/>
          <w:sz w:val="24"/>
          <w:szCs w:val="24"/>
        </w:rPr>
        <w:t>填土时，应</w:t>
      </w:r>
      <w:r>
        <w:rPr>
          <w:rFonts w:ascii="宋体" w:hAnsi="宋体" w:eastAsia="宋体" w:cs="宋体"/>
          <w:sz w:val="24"/>
          <w:szCs w:val="24"/>
        </w:rPr>
        <w:t xml:space="preserve"> </w:t>
      </w:r>
      <w:r>
        <w:rPr>
          <w:rFonts w:ascii="宋体" w:hAnsi="宋体" w:eastAsia="宋体" w:cs="宋体"/>
          <w:strike/>
          <w:spacing w:val="-1"/>
          <w:sz w:val="24"/>
          <w:szCs w:val="24"/>
        </w:rPr>
        <w:t>在下层的压实系数经试验合格后，才能进行上层施工。</w:t>
      </w:r>
    </w:p>
    <w:p w14:paraId="2EE1BE27">
      <w:pPr>
        <w:spacing w:before="153" w:line="299" w:lineRule="auto"/>
        <w:ind w:left="129" w:right="190" w:firstLine="1"/>
        <w:rPr>
          <w:rFonts w:ascii="宋体" w:hAnsi="宋体" w:eastAsia="宋体" w:cs="宋体"/>
          <w:sz w:val="24"/>
          <w:szCs w:val="24"/>
        </w:rPr>
      </w:pPr>
      <w:r>
        <w:rPr>
          <w:rFonts w:ascii="Times New Roman" w:hAnsi="Times New Roman" w:eastAsia="Times New Roman" w:cs="Times New Roman"/>
          <w:strike/>
          <w:sz w:val="24"/>
          <w:szCs w:val="24"/>
        </w:rPr>
        <w:t xml:space="preserve">5.1.12    </w:t>
      </w:r>
      <w:r>
        <w:rPr>
          <w:rFonts w:ascii="宋体" w:hAnsi="宋体" w:eastAsia="宋体" w:cs="宋体"/>
          <w:strike/>
          <w:sz w:val="24"/>
          <w:szCs w:val="24"/>
        </w:rPr>
        <w:t>爆破作业人员应按爆破设计进行装药，当需调整</w:t>
      </w:r>
      <w:r>
        <w:rPr>
          <w:rFonts w:ascii="宋体" w:hAnsi="宋体" w:eastAsia="宋体" w:cs="宋体"/>
          <w:strike/>
          <w:spacing w:val="-1"/>
          <w:sz w:val="24"/>
          <w:szCs w:val="24"/>
        </w:rPr>
        <w:t>时，应征得现场技术负责人员</w:t>
      </w:r>
      <w:r>
        <w:rPr>
          <w:rFonts w:ascii="宋体" w:hAnsi="宋体" w:eastAsia="宋体" w:cs="宋体"/>
          <w:sz w:val="24"/>
          <w:szCs w:val="24"/>
        </w:rPr>
        <w:t xml:space="preserve"> </w:t>
      </w:r>
      <w:r>
        <w:rPr>
          <w:rFonts w:ascii="宋体" w:hAnsi="宋体" w:eastAsia="宋体" w:cs="宋体"/>
          <w:strike/>
          <w:sz w:val="24"/>
          <w:szCs w:val="24"/>
        </w:rPr>
        <w:t>同意并做好变更记录。在装药和填塞过程中，应保护好爆</w:t>
      </w:r>
      <w:r>
        <w:rPr>
          <w:rFonts w:ascii="宋体" w:hAnsi="宋体" w:eastAsia="宋体" w:cs="宋体"/>
          <w:strike/>
          <w:spacing w:val="-1"/>
          <w:sz w:val="24"/>
          <w:szCs w:val="24"/>
        </w:rPr>
        <w:t>破网线；当发生装药阻塞，</w:t>
      </w:r>
      <w:r>
        <w:rPr>
          <w:rFonts w:ascii="宋体" w:hAnsi="宋体" w:eastAsia="宋体" w:cs="宋体"/>
          <w:sz w:val="24"/>
          <w:szCs w:val="24"/>
        </w:rPr>
        <w:t xml:space="preserve">  </w:t>
      </w:r>
      <w:r>
        <w:rPr>
          <w:rFonts w:ascii="宋体" w:hAnsi="宋体" w:eastAsia="宋体" w:cs="宋体"/>
          <w:strike/>
          <w:sz w:val="24"/>
          <w:szCs w:val="24"/>
        </w:rPr>
        <w:t>严禁用金属杆（管）捣捅药包。爆前应进行网路检查，在</w:t>
      </w:r>
      <w:r>
        <w:rPr>
          <w:rFonts w:ascii="宋体" w:hAnsi="宋体" w:eastAsia="宋体" w:cs="宋体"/>
          <w:strike/>
          <w:spacing w:val="-1"/>
          <w:sz w:val="24"/>
          <w:szCs w:val="24"/>
        </w:rPr>
        <w:t>确认无误的情况下再起爆。</w:t>
      </w:r>
    </w:p>
    <w:p w14:paraId="3D6D9C5A">
      <w:pPr>
        <w:spacing w:before="155" w:line="279" w:lineRule="auto"/>
        <w:ind w:left="130" w:right="190"/>
        <w:rPr>
          <w:rFonts w:ascii="宋体" w:hAnsi="宋体" w:eastAsia="宋体" w:cs="宋体"/>
          <w:sz w:val="24"/>
          <w:szCs w:val="24"/>
        </w:rPr>
      </w:pPr>
      <w:r>
        <w:rPr>
          <w:rFonts w:ascii="Times New Roman" w:hAnsi="Times New Roman" w:eastAsia="Times New Roman" w:cs="Times New Roman"/>
          <w:strike/>
          <w:sz w:val="24"/>
          <w:szCs w:val="24"/>
        </w:rPr>
        <w:t xml:space="preserve">5.2.10    </w:t>
      </w:r>
      <w:r>
        <w:rPr>
          <w:rFonts w:ascii="宋体" w:hAnsi="宋体" w:eastAsia="宋体" w:cs="宋体"/>
          <w:strike/>
          <w:sz w:val="24"/>
          <w:szCs w:val="24"/>
        </w:rPr>
        <w:t>起爆后应立即切断电源，并将主线短路。使用瞬</w:t>
      </w:r>
      <w:r>
        <w:rPr>
          <w:rFonts w:ascii="宋体" w:hAnsi="宋体" w:eastAsia="宋体" w:cs="宋体"/>
          <w:strike/>
          <w:spacing w:val="-1"/>
          <w:sz w:val="24"/>
          <w:szCs w:val="24"/>
        </w:rPr>
        <w:t>发电雷管起爆时应在切断电源</w:t>
      </w:r>
      <w:r>
        <w:rPr>
          <w:rFonts w:ascii="宋体" w:hAnsi="宋体" w:eastAsia="宋体" w:cs="宋体"/>
          <w:sz w:val="24"/>
          <w:szCs w:val="24"/>
        </w:rPr>
        <w:t xml:space="preserve"> </w:t>
      </w:r>
      <w:r>
        <w:rPr>
          <w:rFonts w:ascii="宋体" w:hAnsi="宋体" w:eastAsia="宋体" w:cs="宋体"/>
          <w:strike/>
          <w:spacing w:val="-1"/>
          <w:sz w:val="24"/>
          <w:szCs w:val="24"/>
        </w:rPr>
        <w:t>后再保持短路</w:t>
      </w:r>
      <w:r>
        <w:rPr>
          <w:rFonts w:ascii="宋体" w:hAnsi="宋体" w:eastAsia="宋体" w:cs="宋体"/>
          <w:strike/>
          <w:spacing w:val="-34"/>
          <w:sz w:val="24"/>
          <w:szCs w:val="24"/>
        </w:rPr>
        <w:t xml:space="preserve"> </w:t>
      </w:r>
      <w:r>
        <w:rPr>
          <w:rFonts w:ascii="Times New Roman" w:hAnsi="Times New Roman" w:eastAsia="Times New Roman" w:cs="Times New Roman"/>
          <w:strike/>
          <w:spacing w:val="-1"/>
          <w:sz w:val="24"/>
          <w:szCs w:val="24"/>
        </w:rPr>
        <w:t xml:space="preserve">5min </w:t>
      </w:r>
      <w:r>
        <w:rPr>
          <w:rFonts w:ascii="宋体" w:hAnsi="宋体" w:eastAsia="宋体" w:cs="宋体"/>
          <w:strike/>
          <w:spacing w:val="-1"/>
          <w:sz w:val="24"/>
          <w:szCs w:val="24"/>
        </w:rPr>
        <w:t>后再进入现场检查；采用延期电雷管时，应在切断电源后再保持</w:t>
      </w:r>
    </w:p>
    <w:p w14:paraId="2CB204B8">
      <w:pPr>
        <w:spacing w:before="155" w:line="220" w:lineRule="auto"/>
        <w:ind w:left="146"/>
        <w:rPr>
          <w:rFonts w:ascii="宋体" w:hAnsi="宋体" w:eastAsia="宋体" w:cs="宋体"/>
          <w:sz w:val="24"/>
          <w:szCs w:val="24"/>
        </w:rPr>
      </w:pPr>
      <w:r>
        <w:rPr>
          <w:rFonts w:ascii="Times New Roman" w:hAnsi="Times New Roman" w:eastAsia="Times New Roman" w:cs="Times New Roman"/>
          <w:strike/>
          <w:spacing w:val="-3"/>
          <w:sz w:val="24"/>
          <w:szCs w:val="24"/>
        </w:rPr>
        <w:t xml:space="preserve">15min </w:t>
      </w:r>
      <w:r>
        <w:rPr>
          <w:rFonts w:ascii="宋体" w:hAnsi="宋体" w:eastAsia="宋体" w:cs="宋体"/>
          <w:strike/>
          <w:spacing w:val="-3"/>
          <w:sz w:val="24"/>
          <w:szCs w:val="24"/>
        </w:rPr>
        <w:t>后进入现场检查。</w:t>
      </w:r>
    </w:p>
    <w:p w14:paraId="32F08584">
      <w:pPr>
        <w:spacing w:before="154" w:line="299" w:lineRule="auto"/>
        <w:ind w:left="128" w:right="310" w:firstLine="2"/>
        <w:rPr>
          <w:rFonts w:ascii="宋体" w:hAnsi="宋体" w:eastAsia="宋体" w:cs="宋体"/>
          <w:sz w:val="24"/>
          <w:szCs w:val="24"/>
        </w:rPr>
      </w:pPr>
      <w:r>
        <w:rPr>
          <w:rFonts w:ascii="Times New Roman" w:hAnsi="Times New Roman" w:eastAsia="Times New Roman" w:cs="Times New Roman"/>
          <w:strike/>
          <w:sz w:val="24"/>
          <w:szCs w:val="24"/>
        </w:rPr>
        <w:t xml:space="preserve">5.4.8    </w:t>
      </w:r>
      <w:r>
        <w:rPr>
          <w:rFonts w:ascii="宋体" w:hAnsi="宋体" w:eastAsia="宋体" w:cs="宋体"/>
          <w:strike/>
          <w:sz w:val="24"/>
          <w:szCs w:val="24"/>
        </w:rPr>
        <w:t>拆除爆破施工前，应调查了解被拆除物的结构性</w:t>
      </w:r>
      <w:r>
        <w:rPr>
          <w:rFonts w:ascii="宋体" w:hAnsi="宋体" w:eastAsia="宋体" w:cs="宋体"/>
          <w:strike/>
          <w:spacing w:val="-1"/>
          <w:sz w:val="24"/>
          <w:szCs w:val="24"/>
        </w:rPr>
        <w:t>能，查明附近建（构）筑物种</w:t>
      </w:r>
      <w:r>
        <w:rPr>
          <w:rFonts w:ascii="宋体" w:hAnsi="宋体" w:eastAsia="宋体" w:cs="宋体"/>
          <w:sz w:val="24"/>
          <w:szCs w:val="24"/>
        </w:rPr>
        <w:t xml:space="preserve"> </w:t>
      </w:r>
      <w:r>
        <w:rPr>
          <w:rFonts w:ascii="宋体" w:hAnsi="宋体" w:eastAsia="宋体" w:cs="宋体"/>
          <w:strike/>
          <w:sz w:val="24"/>
          <w:szCs w:val="24"/>
        </w:rPr>
        <w:t>类、各种管线和其他设施的分布状况和安全要求等情况。地</w:t>
      </w:r>
      <w:r>
        <w:rPr>
          <w:rFonts w:ascii="宋体" w:hAnsi="宋体" w:eastAsia="宋体" w:cs="宋体"/>
          <w:strike/>
          <w:spacing w:val="-1"/>
          <w:sz w:val="24"/>
          <w:szCs w:val="24"/>
        </w:rPr>
        <w:t>下管网及设施，应做好记</w:t>
      </w:r>
      <w:r>
        <w:rPr>
          <w:rFonts w:ascii="宋体" w:hAnsi="宋体" w:eastAsia="宋体" w:cs="宋体"/>
          <w:sz w:val="24"/>
          <w:szCs w:val="24"/>
        </w:rPr>
        <w:t xml:space="preserve"> </w:t>
      </w:r>
      <w:r>
        <w:rPr>
          <w:rFonts w:ascii="宋体" w:hAnsi="宋体" w:eastAsia="宋体" w:cs="宋体"/>
          <w:strike/>
          <w:spacing w:val="-1"/>
          <w:sz w:val="24"/>
          <w:szCs w:val="24"/>
        </w:rPr>
        <w:t>录并绘制相关位置关系图。</w:t>
      </w:r>
    </w:p>
    <w:p w14:paraId="022836F2">
      <w:pPr>
        <w:spacing w:before="201" w:line="327" w:lineRule="auto"/>
        <w:ind w:left="568" w:right="497" w:hanging="440"/>
        <w:outlineLvl w:val="2"/>
        <w:rPr>
          <w:rFonts w:ascii="宋体" w:hAnsi="宋体" w:eastAsia="宋体" w:cs="宋体"/>
          <w:sz w:val="27"/>
          <w:szCs w:val="27"/>
        </w:rPr>
      </w:pPr>
      <w:bookmarkStart w:id="1" w:name="bookmark51"/>
      <w:bookmarkEnd w:id="1"/>
      <w:r>
        <w:rPr>
          <w:rFonts w:ascii="Times New Roman" w:hAnsi="Times New Roman" w:eastAsia="Times New Roman" w:cs="Times New Roman"/>
          <w:b/>
          <w:bCs/>
          <w:spacing w:val="6"/>
          <w:sz w:val="27"/>
          <w:szCs w:val="27"/>
        </w:rPr>
        <w:t>7.</w:t>
      </w:r>
      <w:r>
        <w:rPr>
          <w:rFonts w:ascii="宋体" w:hAnsi="宋体" w:eastAsia="宋体" w:cs="宋体"/>
          <w:b/>
          <w:bCs/>
          <w:spacing w:val="6"/>
          <w:sz w:val="27"/>
          <w:szCs w:val="27"/>
        </w:rPr>
        <w:t>《建筑地基基础工程施工质量验收标准》</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50202-2018</w:t>
      </w:r>
      <w:r>
        <w:rPr>
          <w:rFonts w:ascii="Times New Roman" w:hAnsi="Times New Roman" w:eastAsia="Times New Roman" w:cs="Times New Roman"/>
          <w:b/>
          <w:bCs/>
          <w:spacing w:val="-41"/>
          <w:sz w:val="27"/>
          <w:szCs w:val="27"/>
        </w:rPr>
        <w:t xml:space="preserve"> </w:t>
      </w:r>
      <w:r>
        <w:rPr>
          <w:rFonts w:ascii="宋体" w:hAnsi="宋体" w:eastAsia="宋体" w:cs="宋体"/>
          <w:b/>
          <w:bCs/>
          <w:spacing w:val="5"/>
          <w:sz w:val="27"/>
          <w:szCs w:val="27"/>
        </w:rPr>
        <w:t>【部分强条已</w:t>
      </w:r>
      <w:r>
        <w:rPr>
          <w:rFonts w:ascii="宋体" w:hAnsi="宋体" w:eastAsia="宋体" w:cs="宋体"/>
          <w:sz w:val="27"/>
          <w:szCs w:val="27"/>
        </w:rPr>
        <w:t xml:space="preserve"> </w:t>
      </w:r>
      <w:bookmarkStart w:id="2" w:name="bookmark51"/>
      <w:bookmarkEnd w:id="2"/>
      <w:r>
        <w:rPr>
          <w:rFonts w:ascii="宋体" w:hAnsi="宋体" w:eastAsia="宋体" w:cs="宋体"/>
          <w:b/>
          <w:bCs/>
          <w:spacing w:val="-2"/>
          <w:sz w:val="27"/>
          <w:szCs w:val="27"/>
        </w:rPr>
        <w:t>废】</w:t>
      </w:r>
    </w:p>
    <w:p w14:paraId="12F59722">
      <w:pPr>
        <w:spacing w:before="288" w:line="339" w:lineRule="auto"/>
        <w:ind w:left="128" w:right="130" w:firstLine="2"/>
        <w:rPr>
          <w:rFonts w:ascii="宋体" w:hAnsi="宋体" w:eastAsia="宋体" w:cs="宋体"/>
          <w:sz w:val="24"/>
          <w:szCs w:val="24"/>
        </w:rPr>
      </w:pPr>
      <w:r>
        <w:rPr>
          <w:rFonts w:ascii="Times New Roman" w:hAnsi="Times New Roman" w:eastAsia="Times New Roman" w:cs="Times New Roman"/>
          <w:strike/>
          <w:sz w:val="24"/>
          <w:szCs w:val="24"/>
        </w:rPr>
        <w:t xml:space="preserve">5.1.3    </w:t>
      </w:r>
      <w:r>
        <w:rPr>
          <w:rFonts w:ascii="宋体" w:hAnsi="宋体" w:eastAsia="宋体" w:cs="宋体"/>
          <w:strike/>
          <w:sz w:val="24"/>
          <w:szCs w:val="24"/>
        </w:rPr>
        <w:t>灌注桩混凝土强度检验的试件应在施工现场随机</w:t>
      </w:r>
      <w:r>
        <w:rPr>
          <w:rFonts w:ascii="宋体" w:hAnsi="宋体" w:eastAsia="宋体" w:cs="宋体"/>
          <w:strike/>
          <w:spacing w:val="-1"/>
          <w:sz w:val="24"/>
          <w:szCs w:val="24"/>
        </w:rPr>
        <w:t>抽取。来自同</w:t>
      </w:r>
      <w:r>
        <w:rPr>
          <w:rFonts w:ascii="宋体" w:hAnsi="宋体" w:eastAsia="宋体" w:cs="宋体"/>
          <w:spacing w:val="-1"/>
          <w:sz w:val="24"/>
          <w:szCs w:val="24"/>
        </w:rPr>
        <w:t>一</w:t>
      </w:r>
      <w:r>
        <w:rPr>
          <w:rFonts w:ascii="宋体" w:hAnsi="宋体" w:eastAsia="宋体" w:cs="宋体"/>
          <w:strike/>
          <w:spacing w:val="-1"/>
          <w:sz w:val="24"/>
          <w:szCs w:val="24"/>
        </w:rPr>
        <w:t>搅拌站的混凝</w:t>
      </w:r>
      <w:r>
        <w:rPr>
          <w:rFonts w:ascii="宋体" w:hAnsi="宋体" w:eastAsia="宋体" w:cs="宋体"/>
          <w:sz w:val="24"/>
          <w:szCs w:val="24"/>
        </w:rPr>
        <w:t xml:space="preserve">  </w:t>
      </w:r>
      <w:r>
        <w:rPr>
          <w:rFonts w:ascii="宋体" w:hAnsi="宋体" w:eastAsia="宋体" w:cs="宋体"/>
          <w:strike/>
          <w:spacing w:val="-2"/>
          <w:sz w:val="24"/>
          <w:szCs w:val="24"/>
        </w:rPr>
        <w:t>土，每浇筑</w:t>
      </w:r>
      <w:r>
        <w:rPr>
          <w:rFonts w:ascii="宋体" w:hAnsi="宋体" w:eastAsia="宋体" w:cs="宋体"/>
          <w:strike/>
          <w:spacing w:val="-46"/>
          <w:sz w:val="24"/>
          <w:szCs w:val="24"/>
        </w:rPr>
        <w:t xml:space="preserve"> </w:t>
      </w:r>
      <w:r>
        <w:rPr>
          <w:rFonts w:ascii="Times New Roman" w:hAnsi="Times New Roman" w:eastAsia="Times New Roman" w:cs="Times New Roman"/>
          <w:strike/>
          <w:spacing w:val="-2"/>
          <w:sz w:val="24"/>
          <w:szCs w:val="24"/>
        </w:rPr>
        <w:t xml:space="preserve">50m3 </w:t>
      </w:r>
      <w:r>
        <w:rPr>
          <w:rFonts w:ascii="宋体" w:hAnsi="宋体" w:eastAsia="宋体" w:cs="宋体"/>
          <w:strike/>
          <w:spacing w:val="-2"/>
          <w:sz w:val="24"/>
          <w:szCs w:val="24"/>
        </w:rPr>
        <w:t>必须至少留置</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组试件；当混凝土浇筑量不足</w:t>
      </w:r>
      <w:r>
        <w:rPr>
          <w:rFonts w:ascii="宋体" w:hAnsi="宋体" w:eastAsia="宋体" w:cs="宋体"/>
          <w:strike/>
          <w:spacing w:val="-48"/>
          <w:sz w:val="24"/>
          <w:szCs w:val="24"/>
        </w:rPr>
        <w:t xml:space="preserve"> </w:t>
      </w:r>
      <w:r>
        <w:rPr>
          <w:rFonts w:ascii="Times New Roman" w:hAnsi="Times New Roman" w:eastAsia="Times New Roman" w:cs="Times New Roman"/>
          <w:strike/>
          <w:spacing w:val="-2"/>
          <w:sz w:val="24"/>
          <w:szCs w:val="24"/>
        </w:rPr>
        <w:t>50m3</w:t>
      </w:r>
      <w:r>
        <w:rPr>
          <w:rFonts w:ascii="Times New Roman" w:hAnsi="Times New Roman" w:eastAsia="Times New Roman" w:cs="Times New Roman"/>
          <w:strike/>
          <w:spacing w:val="20"/>
          <w:w w:val="101"/>
          <w:sz w:val="24"/>
          <w:szCs w:val="24"/>
        </w:rPr>
        <w:t xml:space="preserve"> </w:t>
      </w:r>
      <w:r>
        <w:rPr>
          <w:rFonts w:ascii="宋体" w:hAnsi="宋体" w:eastAsia="宋体" w:cs="宋体"/>
          <w:strike/>
          <w:spacing w:val="-2"/>
          <w:sz w:val="24"/>
          <w:szCs w:val="24"/>
        </w:rPr>
        <w:t>时，每连续浇筑</w:t>
      </w:r>
      <w:r>
        <w:rPr>
          <w:rFonts w:ascii="宋体" w:hAnsi="宋体" w:eastAsia="宋体" w:cs="宋体"/>
          <w:sz w:val="24"/>
          <w:szCs w:val="24"/>
        </w:rPr>
        <w:t xml:space="preserve"> </w:t>
      </w:r>
      <w:r>
        <w:rPr>
          <w:rFonts w:ascii="Times New Roman" w:hAnsi="Times New Roman" w:eastAsia="Times New Roman" w:cs="Times New Roman"/>
          <w:strike/>
          <w:spacing w:val="-2"/>
          <w:sz w:val="24"/>
          <w:szCs w:val="24"/>
        </w:rPr>
        <w:t xml:space="preserve">12h </w:t>
      </w:r>
      <w:r>
        <w:rPr>
          <w:rFonts w:ascii="宋体" w:hAnsi="宋体" w:eastAsia="宋体" w:cs="宋体"/>
          <w:strike/>
          <w:spacing w:val="-2"/>
          <w:sz w:val="24"/>
          <w:szCs w:val="24"/>
        </w:rPr>
        <w:t>必须至少留置</w:t>
      </w:r>
      <w:r>
        <w:rPr>
          <w:rFonts w:ascii="宋体" w:hAnsi="宋体" w:eastAsia="宋体" w:cs="宋体"/>
          <w:strike/>
          <w:spacing w:val="-15"/>
          <w:sz w:val="24"/>
          <w:szCs w:val="24"/>
        </w:rPr>
        <w:t xml:space="preserve"> </w:t>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组试件。对单柱单桩，每根桩应至少留置</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组试件。</w:t>
      </w:r>
      <w:r>
        <w:rPr>
          <w:rFonts w:ascii="宋体" w:hAnsi="宋体" w:eastAsia="宋体" w:cs="宋体"/>
          <w:spacing w:val="-2"/>
          <w:sz w:val="24"/>
          <w:szCs w:val="24"/>
        </w:rPr>
        <w:t>【</w:t>
      </w:r>
      <w:r>
        <w:rPr>
          <w:rFonts w:ascii="宋体" w:hAnsi="宋体" w:eastAsia="宋体" w:cs="宋体"/>
          <w:color w:val="FF0000"/>
          <w:spacing w:val="-2"/>
          <w:sz w:val="24"/>
          <w:szCs w:val="24"/>
        </w:rPr>
        <w:t>当前条目已</w:t>
      </w:r>
      <w:r>
        <w:rPr>
          <w:rFonts w:ascii="宋体" w:hAnsi="宋体" w:eastAsia="宋体" w:cs="宋体"/>
          <w:color w:val="FF0000"/>
          <w:sz w:val="24"/>
          <w:szCs w:val="24"/>
        </w:rPr>
        <w:t xml:space="preserve"> </w:t>
      </w:r>
      <w:r>
        <w:rPr>
          <w:rFonts w:ascii="宋体" w:hAnsi="宋体" w:eastAsia="宋体" w:cs="宋体"/>
          <w:color w:val="FF0000"/>
          <w:spacing w:val="2"/>
          <w:sz w:val="24"/>
          <w:szCs w:val="24"/>
        </w:rPr>
        <w:t>被</w:t>
      </w:r>
      <w:r>
        <w:rPr>
          <w:rFonts w:ascii="宋体" w:hAnsi="宋体" w:eastAsia="宋体" w:cs="宋体"/>
          <w:color w:val="0563C1"/>
          <w:spacing w:val="2"/>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2"/>
          <w:sz w:val="24"/>
          <w:szCs w:val="24"/>
          <w:u w:val="single" w:color="auto"/>
        </w:rPr>
        <w:t>55003</w:t>
      </w:r>
      <w:r>
        <w:rPr>
          <w:rFonts w:ascii="Times New Roman" w:hAnsi="Times New Roman" w:eastAsia="Times New Roman" w:cs="Times New Roman"/>
          <w:color w:val="0563C1"/>
          <w:spacing w:val="1"/>
          <w:sz w:val="24"/>
          <w:szCs w:val="24"/>
          <w:u w:val="single" w:color="auto"/>
        </w:rPr>
        <w:t>-2021</w:t>
      </w:r>
      <w:r>
        <w:rPr>
          <w:rFonts w:ascii="宋体" w:hAnsi="宋体" w:eastAsia="宋体" w:cs="宋体"/>
          <w:color w:val="FF0000"/>
          <w:spacing w:val="1"/>
          <w:sz w:val="24"/>
          <w:szCs w:val="24"/>
        </w:rPr>
        <w:t>替代</w:t>
      </w:r>
      <w:r>
        <w:rPr>
          <w:rFonts w:ascii="宋体" w:hAnsi="宋体" w:eastAsia="宋体" w:cs="宋体"/>
          <w:spacing w:val="1"/>
          <w:sz w:val="24"/>
          <w:szCs w:val="24"/>
        </w:rPr>
        <w:t>】</w:t>
      </w:r>
    </w:p>
    <w:p w14:paraId="65EC5A94">
      <w:pPr>
        <w:pStyle w:val="2"/>
        <w:spacing w:line="277" w:lineRule="auto"/>
      </w:pPr>
      <w:r>
        <w:drawing>
          <wp:anchor distT="0" distB="0" distL="0" distR="0" simplePos="0" relativeHeight="251664384" behindDoc="0" locked="0" layoutInCell="1" allowOverlap="1">
            <wp:simplePos x="0" y="0"/>
            <wp:positionH relativeFrom="column">
              <wp:posOffset>0</wp:posOffset>
            </wp:positionH>
            <wp:positionV relativeFrom="paragraph">
              <wp:posOffset>182880</wp:posOffset>
            </wp:positionV>
            <wp:extent cx="6350" cy="635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78"/>
                    <a:stretch>
                      <a:fillRect/>
                    </a:stretch>
                  </pic:blipFill>
                  <pic:spPr>
                    <a:xfrm>
                      <a:off x="0" y="0"/>
                      <a:ext cx="6350" cy="6350"/>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5904865</wp:posOffset>
            </wp:positionH>
            <wp:positionV relativeFrom="paragraph">
              <wp:posOffset>182880</wp:posOffset>
            </wp:positionV>
            <wp:extent cx="6350" cy="63627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79"/>
                    <a:stretch>
                      <a:fillRect/>
                    </a:stretch>
                  </pic:blipFill>
                  <pic:spPr>
                    <a:xfrm>
                      <a:off x="0" y="0"/>
                      <a:ext cx="6350" cy="636269"/>
                    </a:xfrm>
                    <a:prstGeom prst="rect">
                      <a:avLst/>
                    </a:prstGeom>
                  </pic:spPr>
                </pic:pic>
              </a:graphicData>
            </a:graphic>
          </wp:anchor>
        </w:drawing>
      </w:r>
    </w:p>
    <w:p w14:paraId="68B30072">
      <w:pPr>
        <w:spacing w:before="69" w:line="220" w:lineRule="auto"/>
        <w:ind w:left="128"/>
        <w:rPr>
          <w:rFonts w:ascii="宋体" w:hAnsi="宋体" w:eastAsia="宋体" w:cs="宋体"/>
          <w:sz w:val="21"/>
          <w:szCs w:val="21"/>
        </w:rPr>
      </w:pPr>
      <w:r>
        <mc:AlternateContent>
          <mc:Choice Requires="wps">
            <w:drawing>
              <wp:anchor distT="0" distB="0" distL="0" distR="0" simplePos="0" relativeHeight="251660288" behindDoc="1" locked="0" layoutInCell="1" allowOverlap="1">
                <wp:simplePos x="0" y="0"/>
                <wp:positionH relativeFrom="column">
                  <wp:posOffset>0</wp:posOffset>
                </wp:positionH>
                <wp:positionV relativeFrom="paragraph">
                  <wp:posOffset>5715</wp:posOffset>
                </wp:positionV>
                <wp:extent cx="5911850" cy="1773555"/>
                <wp:effectExtent l="0" t="0" r="0" b="0"/>
                <wp:wrapNone/>
                <wp:docPr id="54" name="Rect 54"/>
                <wp:cNvGraphicFramePr/>
                <a:graphic xmlns:a="http://schemas.openxmlformats.org/drawingml/2006/main">
                  <a:graphicData uri="http://schemas.microsoft.com/office/word/2010/wordprocessingShape">
                    <wps:wsp>
                      <wps:cNvSpPr/>
                      <wps:spPr>
                        <a:xfrm>
                          <a:off x="0" y="6051"/>
                          <a:ext cx="5911850" cy="1773554"/>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54" o:spid="_x0000_s1026" o:spt="1" style="position:absolute;left:0pt;margin-left:0pt;margin-top:0.45pt;height:139.65pt;width:465.5pt;z-index:-251656192;mso-width-relative:page;mso-height-relative:page;" fillcolor="#E2E9F6" filled="t" stroked="f" coordsize="21600,21600" o:gfxdata="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AWhVs1QAAAAUBAAAPAAAAAAAAAAEAIAAAACIAAABkcnMvZG93bnJldi54bWxQSwECFAAU&#10;AAAACACHTuJAtwqptS0CAABoBAAADgAAAAAAAAABACAAAAAkAQAAZHJzL2Uyb0RvYy54bWxQSwUG&#10;AAAAAAYABgBZAQAAwwUAAAAA&#10;">
                <v:fill on="t" focussize="0,0"/>
                <v:stroke on="f" weight="0pt"/>
                <v:imagedata o:title=""/>
                <o:lock v:ext="edit" aspectratio="f"/>
                <v:textbox inset="0mm,0mm,0mm,0mm"/>
              </v:rect>
            </w:pict>
          </mc:Fallback>
        </mc:AlternateContent>
      </w:r>
      <w:r>
        <w:rPr>
          <w:rFonts w:ascii="宋体" w:hAnsi="宋体" w:eastAsia="宋体" w:cs="宋体"/>
          <w:color w:val="2F5496"/>
          <w:spacing w:val="-10"/>
          <w:sz w:val="21"/>
          <w:szCs w:val="21"/>
        </w:rPr>
        <w:t>条文说明：</w:t>
      </w:r>
    </w:p>
    <w:p w14:paraId="4C50FD27">
      <w:pPr>
        <w:pStyle w:val="2"/>
        <w:spacing w:line="245" w:lineRule="auto"/>
      </w:pPr>
    </w:p>
    <w:p w14:paraId="1E302CB3">
      <w:pPr>
        <w:spacing w:before="69" w:line="219" w:lineRule="auto"/>
        <w:ind w:left="128"/>
        <w:rPr>
          <w:rFonts w:ascii="宋体" w:hAnsi="宋体" w:eastAsia="宋体" w:cs="宋体"/>
          <w:sz w:val="21"/>
          <w:szCs w:val="21"/>
        </w:rPr>
      </w:pPr>
      <w:r>
        <w:rPr>
          <w:rFonts w:ascii="Times New Roman" w:hAnsi="Times New Roman" w:eastAsia="Times New Roman" w:cs="Times New Roman"/>
          <w:color w:val="2F5496"/>
          <w:sz w:val="21"/>
          <w:szCs w:val="21"/>
        </w:rPr>
        <w:t xml:space="preserve">5.1.3    </w:t>
      </w:r>
      <w:r>
        <w:rPr>
          <w:rFonts w:ascii="宋体" w:hAnsi="宋体" w:eastAsia="宋体" w:cs="宋体"/>
          <w:color w:val="2F5496"/>
          <w:sz w:val="21"/>
          <w:szCs w:val="21"/>
        </w:rPr>
        <w:t>本条为强制性条文，应严格执行。本条是在原</w:t>
      </w:r>
      <w:r>
        <w:rPr>
          <w:rFonts w:ascii="宋体" w:hAnsi="宋体" w:eastAsia="宋体" w:cs="宋体"/>
          <w:color w:val="2F5496"/>
          <w:spacing w:val="-1"/>
          <w:sz w:val="21"/>
          <w:szCs w:val="21"/>
        </w:rPr>
        <w:t>规范强制性条文第</w:t>
      </w:r>
      <w:r>
        <w:rPr>
          <w:rFonts w:ascii="宋体" w:hAnsi="宋体" w:eastAsia="宋体" w:cs="宋体"/>
          <w:color w:val="2F5496"/>
          <w:spacing w:val="-43"/>
          <w:sz w:val="21"/>
          <w:szCs w:val="21"/>
        </w:rPr>
        <w:t xml:space="preserve"> </w:t>
      </w:r>
      <w:r>
        <w:rPr>
          <w:rFonts w:ascii="Times New Roman" w:hAnsi="Times New Roman" w:eastAsia="Times New Roman" w:cs="Times New Roman"/>
          <w:color w:val="2F5496"/>
          <w:spacing w:val="-1"/>
          <w:sz w:val="21"/>
          <w:szCs w:val="21"/>
        </w:rPr>
        <w:t xml:space="preserve">5.1.4 </w:t>
      </w:r>
      <w:r>
        <w:rPr>
          <w:rFonts w:ascii="宋体" w:hAnsi="宋体" w:eastAsia="宋体" w:cs="宋体"/>
          <w:color w:val="2F5496"/>
          <w:spacing w:val="-1"/>
          <w:sz w:val="21"/>
          <w:szCs w:val="21"/>
        </w:rPr>
        <w:t>条的基础上修改而</w:t>
      </w:r>
    </w:p>
    <w:p w14:paraId="29F74B07">
      <w:pPr>
        <w:spacing w:before="160" w:line="359" w:lineRule="auto"/>
        <w:ind w:left="128" w:right="160"/>
        <w:rPr>
          <w:rFonts w:ascii="宋体" w:hAnsi="宋体" w:eastAsia="宋体" w:cs="宋体"/>
          <w:sz w:val="21"/>
          <w:szCs w:val="21"/>
        </w:rPr>
      </w:pPr>
      <w:r>
        <w:drawing>
          <wp:anchor distT="0" distB="0" distL="0" distR="0" simplePos="0" relativeHeight="251662336" behindDoc="0" locked="0" layoutInCell="1" allowOverlap="1">
            <wp:simplePos x="0" y="0"/>
            <wp:positionH relativeFrom="column">
              <wp:posOffset>0</wp:posOffset>
            </wp:positionH>
            <wp:positionV relativeFrom="paragraph">
              <wp:posOffset>861060</wp:posOffset>
            </wp:positionV>
            <wp:extent cx="6350" cy="35814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80"/>
                    <a:stretch>
                      <a:fillRect/>
                    </a:stretch>
                  </pic:blipFill>
                  <pic:spPr>
                    <a:xfrm>
                      <a:off x="0" y="0"/>
                      <a:ext cx="6350" cy="358140"/>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5904865</wp:posOffset>
            </wp:positionH>
            <wp:positionV relativeFrom="paragraph">
              <wp:posOffset>861060</wp:posOffset>
            </wp:positionV>
            <wp:extent cx="6350" cy="35814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80"/>
                    <a:stretch>
                      <a:fillRect/>
                    </a:stretch>
                  </pic:blipFill>
                  <pic:spPr>
                    <a:xfrm>
                      <a:off x="0" y="0"/>
                      <a:ext cx="6350" cy="358140"/>
                    </a:xfrm>
                    <a:prstGeom prst="rect">
                      <a:avLst/>
                    </a:prstGeom>
                  </pic:spPr>
                </pic:pic>
              </a:graphicData>
            </a:graphic>
          </wp:anchor>
        </w:drawing>
      </w:r>
      <w:r>
        <w:rPr>
          <w:rFonts w:ascii="宋体" w:hAnsi="宋体" w:eastAsia="宋体" w:cs="宋体"/>
          <w:color w:val="2F5496"/>
          <w:sz w:val="21"/>
          <w:szCs w:val="21"/>
        </w:rPr>
        <w:t>成。虽然目前灌注桩的直径和深度均有所增加，但是也会出现短桩数量非</w:t>
      </w:r>
      <w:r>
        <w:rPr>
          <w:rFonts w:ascii="宋体" w:hAnsi="宋体" w:eastAsia="宋体" w:cs="宋体"/>
          <w:color w:val="2F5496"/>
          <w:spacing w:val="-1"/>
          <w:sz w:val="21"/>
          <w:szCs w:val="21"/>
        </w:rPr>
        <w:t>常多的情况，按照原规范</w:t>
      </w:r>
      <w:r>
        <w:rPr>
          <w:rFonts w:ascii="宋体" w:hAnsi="宋体" w:eastAsia="宋体" w:cs="宋体"/>
          <w:color w:val="2F5496"/>
          <w:sz w:val="21"/>
          <w:szCs w:val="21"/>
        </w:rPr>
        <w:t xml:space="preserve"> </w:t>
      </w:r>
      <w:r>
        <w:rPr>
          <w:rFonts w:ascii="宋体" w:hAnsi="宋体" w:eastAsia="宋体" w:cs="宋体"/>
          <w:color w:val="2F5496"/>
          <w:spacing w:val="-2"/>
          <w:sz w:val="21"/>
          <w:szCs w:val="21"/>
        </w:rPr>
        <w:t>的要求，混凝土试块的留置数量偏多，此次修订将“小于</w:t>
      </w:r>
      <w:r>
        <w:rPr>
          <w:rFonts w:ascii="宋体" w:hAnsi="宋体" w:eastAsia="宋体" w:cs="宋体"/>
          <w:color w:val="2F5496"/>
          <w:spacing w:val="-26"/>
          <w:sz w:val="21"/>
          <w:szCs w:val="21"/>
        </w:rPr>
        <w:t xml:space="preserve"> </w:t>
      </w:r>
      <w:r>
        <w:rPr>
          <w:rFonts w:ascii="Times New Roman" w:hAnsi="Times New Roman" w:eastAsia="Times New Roman" w:cs="Times New Roman"/>
          <w:color w:val="2F5496"/>
          <w:spacing w:val="-2"/>
          <w:sz w:val="21"/>
          <w:szCs w:val="21"/>
        </w:rPr>
        <w:t>50m3</w:t>
      </w:r>
      <w:r>
        <w:rPr>
          <w:rFonts w:ascii="Times New Roman" w:hAnsi="Times New Roman" w:eastAsia="Times New Roman" w:cs="Times New Roman"/>
          <w:color w:val="2F5496"/>
          <w:spacing w:val="26"/>
          <w:w w:val="101"/>
          <w:sz w:val="21"/>
          <w:szCs w:val="21"/>
        </w:rPr>
        <w:t xml:space="preserve"> </w:t>
      </w:r>
      <w:r>
        <w:rPr>
          <w:rFonts w:ascii="宋体" w:hAnsi="宋体" w:eastAsia="宋体" w:cs="宋体"/>
          <w:color w:val="2F5496"/>
          <w:spacing w:val="-2"/>
          <w:sz w:val="21"/>
          <w:szCs w:val="21"/>
        </w:rPr>
        <w:t>的桩，每根桩必须有</w:t>
      </w:r>
      <w:r>
        <w:rPr>
          <w:rFonts w:ascii="宋体" w:hAnsi="宋体" w:eastAsia="宋体" w:cs="宋体"/>
          <w:color w:val="2F5496"/>
          <w:spacing w:val="-28"/>
          <w:sz w:val="21"/>
          <w:szCs w:val="21"/>
        </w:rPr>
        <w:t xml:space="preserve"> </w:t>
      </w:r>
      <w:r>
        <w:rPr>
          <w:rFonts w:ascii="Times New Roman" w:hAnsi="Times New Roman" w:eastAsia="Times New Roman" w:cs="Times New Roman"/>
          <w:color w:val="2F5496"/>
          <w:spacing w:val="-2"/>
          <w:sz w:val="21"/>
          <w:szCs w:val="21"/>
        </w:rPr>
        <w:t xml:space="preserve">1 </w:t>
      </w:r>
      <w:r>
        <w:rPr>
          <w:rFonts w:ascii="宋体" w:hAnsi="宋体" w:eastAsia="宋体" w:cs="宋体"/>
          <w:color w:val="2F5496"/>
          <w:spacing w:val="-2"/>
          <w:sz w:val="21"/>
          <w:szCs w:val="21"/>
        </w:rPr>
        <w:t>组试件”改</w:t>
      </w:r>
      <w:r>
        <w:rPr>
          <w:rFonts w:ascii="宋体" w:hAnsi="宋体" w:eastAsia="宋体" w:cs="宋体"/>
          <w:color w:val="2F5496"/>
          <w:sz w:val="21"/>
          <w:szCs w:val="21"/>
        </w:rPr>
        <w:t xml:space="preserve"> </w:t>
      </w:r>
      <w:r>
        <w:rPr>
          <w:rFonts w:ascii="宋体" w:hAnsi="宋体" w:eastAsia="宋体" w:cs="宋体"/>
          <w:color w:val="2F5496"/>
          <w:spacing w:val="-2"/>
          <w:sz w:val="21"/>
          <w:szCs w:val="21"/>
        </w:rPr>
        <w:t>为“当混凝土浇筑量不足</w:t>
      </w:r>
      <w:r>
        <w:rPr>
          <w:rFonts w:ascii="宋体" w:hAnsi="宋体" w:eastAsia="宋体" w:cs="宋体"/>
          <w:color w:val="2F5496"/>
          <w:spacing w:val="-42"/>
          <w:sz w:val="21"/>
          <w:szCs w:val="21"/>
        </w:rPr>
        <w:t xml:space="preserve"> </w:t>
      </w:r>
      <w:r>
        <w:rPr>
          <w:rFonts w:ascii="Times New Roman" w:hAnsi="Times New Roman" w:eastAsia="Times New Roman" w:cs="Times New Roman"/>
          <w:color w:val="2F5496"/>
          <w:spacing w:val="-2"/>
          <w:sz w:val="21"/>
          <w:szCs w:val="21"/>
        </w:rPr>
        <w:t>50m3</w:t>
      </w:r>
      <w:r>
        <w:rPr>
          <w:rFonts w:ascii="Times New Roman" w:hAnsi="Times New Roman" w:eastAsia="Times New Roman" w:cs="Times New Roman"/>
          <w:color w:val="2F5496"/>
          <w:spacing w:val="19"/>
          <w:sz w:val="21"/>
          <w:szCs w:val="21"/>
        </w:rPr>
        <w:t xml:space="preserve"> </w:t>
      </w:r>
      <w:r>
        <w:rPr>
          <w:rFonts w:ascii="宋体" w:hAnsi="宋体" w:eastAsia="宋体" w:cs="宋体"/>
          <w:color w:val="2F5496"/>
          <w:spacing w:val="-2"/>
          <w:sz w:val="21"/>
          <w:szCs w:val="21"/>
        </w:rPr>
        <w:t>时，每连续浇筑</w:t>
      </w:r>
      <w:r>
        <w:rPr>
          <w:rFonts w:ascii="宋体" w:hAnsi="宋体" w:eastAsia="宋体" w:cs="宋体"/>
          <w:color w:val="2F5496"/>
          <w:spacing w:val="-28"/>
          <w:sz w:val="21"/>
          <w:szCs w:val="21"/>
        </w:rPr>
        <w:t xml:space="preserve"> </w:t>
      </w:r>
      <w:r>
        <w:rPr>
          <w:rFonts w:ascii="Times New Roman" w:hAnsi="Times New Roman" w:eastAsia="Times New Roman" w:cs="Times New Roman"/>
          <w:color w:val="2F5496"/>
          <w:spacing w:val="-2"/>
          <w:sz w:val="21"/>
          <w:szCs w:val="21"/>
        </w:rPr>
        <w:t>12h</w:t>
      </w:r>
      <w:r>
        <w:rPr>
          <w:rFonts w:ascii="Times New Roman" w:hAnsi="Times New Roman" w:eastAsia="Times New Roman" w:cs="Times New Roman"/>
          <w:color w:val="2F5496"/>
          <w:spacing w:val="13"/>
          <w:sz w:val="21"/>
          <w:szCs w:val="21"/>
        </w:rPr>
        <w:t xml:space="preserve"> </w:t>
      </w:r>
      <w:r>
        <w:rPr>
          <w:rFonts w:ascii="宋体" w:hAnsi="宋体" w:eastAsia="宋体" w:cs="宋体"/>
          <w:color w:val="2F5496"/>
          <w:spacing w:val="-2"/>
          <w:sz w:val="21"/>
          <w:szCs w:val="21"/>
        </w:rPr>
        <w:t>必须至少留置</w:t>
      </w:r>
      <w:r>
        <w:rPr>
          <w:rFonts w:ascii="宋体" w:hAnsi="宋体" w:eastAsia="宋体" w:cs="宋体"/>
          <w:color w:val="2F5496"/>
          <w:spacing w:val="-28"/>
          <w:sz w:val="21"/>
          <w:szCs w:val="21"/>
        </w:rPr>
        <w:t xml:space="preserve"> </w:t>
      </w:r>
      <w:r>
        <w:rPr>
          <w:rFonts w:ascii="Times New Roman" w:hAnsi="Times New Roman" w:eastAsia="Times New Roman" w:cs="Times New Roman"/>
          <w:color w:val="2F5496"/>
          <w:spacing w:val="-3"/>
          <w:sz w:val="21"/>
          <w:szCs w:val="21"/>
        </w:rPr>
        <w:t xml:space="preserve">1 </w:t>
      </w:r>
      <w:r>
        <w:rPr>
          <w:rFonts w:ascii="宋体" w:hAnsi="宋体" w:eastAsia="宋体" w:cs="宋体"/>
          <w:color w:val="2F5496"/>
          <w:spacing w:val="-3"/>
          <w:sz w:val="21"/>
          <w:szCs w:val="21"/>
        </w:rPr>
        <w:t>组试件”，即对于单桩不足</w:t>
      </w:r>
    </w:p>
    <w:p w14:paraId="355E71BB">
      <w:pPr>
        <w:spacing w:before="1" w:line="219" w:lineRule="auto"/>
        <w:ind w:left="128"/>
        <w:rPr>
          <w:rFonts w:ascii="宋体" w:hAnsi="宋体" w:eastAsia="宋体" w:cs="宋体"/>
          <w:sz w:val="21"/>
          <w:szCs w:val="21"/>
        </w:rPr>
      </w:pPr>
      <w:r>
        <w:rPr>
          <w:rFonts w:ascii="Times New Roman" w:hAnsi="Times New Roman" w:eastAsia="Times New Roman" w:cs="Times New Roman"/>
          <w:color w:val="2F5496"/>
          <w:spacing w:val="-4"/>
          <w:sz w:val="21"/>
          <w:szCs w:val="21"/>
        </w:rPr>
        <w:t>50m3</w:t>
      </w:r>
      <w:r>
        <w:rPr>
          <w:rFonts w:ascii="Times New Roman" w:hAnsi="Times New Roman" w:eastAsia="Times New Roman" w:cs="Times New Roman"/>
          <w:color w:val="2F5496"/>
          <w:spacing w:val="44"/>
          <w:w w:val="101"/>
          <w:sz w:val="21"/>
          <w:szCs w:val="21"/>
        </w:rPr>
        <w:t xml:space="preserve"> </w:t>
      </w:r>
      <w:r>
        <w:rPr>
          <w:rFonts w:ascii="宋体" w:hAnsi="宋体" w:eastAsia="宋体" w:cs="宋体"/>
          <w:color w:val="2F5496"/>
          <w:spacing w:val="-4"/>
          <w:sz w:val="21"/>
          <w:szCs w:val="21"/>
        </w:rPr>
        <w:t>的桩无需一桩一试件，数量有所减少。</w:t>
      </w:r>
    </w:p>
    <w:p w14:paraId="731757B7">
      <w:pPr>
        <w:spacing w:line="219" w:lineRule="auto"/>
        <w:rPr>
          <w:rFonts w:ascii="宋体" w:hAnsi="宋体" w:eastAsia="宋体" w:cs="宋体"/>
          <w:sz w:val="21"/>
          <w:szCs w:val="21"/>
        </w:rPr>
        <w:sectPr>
          <w:footerReference r:id="rId7" w:type="default"/>
          <w:pgSz w:w="11907" w:h="16839"/>
          <w:pgMar w:top="400" w:right="1298" w:bottom="743" w:left="1298" w:header="0" w:footer="582" w:gutter="0"/>
          <w:cols w:space="720" w:num="1"/>
        </w:sectPr>
      </w:pPr>
    </w:p>
    <w:p w14:paraId="1AC3F982">
      <w:pPr>
        <w:pStyle w:val="2"/>
        <w:spacing w:line="267" w:lineRule="auto"/>
      </w:pPr>
    </w:p>
    <w:p w14:paraId="79FC45BE">
      <w:pPr>
        <w:pStyle w:val="2"/>
        <w:spacing w:line="268" w:lineRule="auto"/>
      </w:pPr>
    </w:p>
    <w:p w14:paraId="0508842A">
      <w:pPr>
        <w:pStyle w:val="2"/>
        <w:spacing w:line="268" w:lineRule="auto"/>
      </w:pPr>
      <w:r>
        <w:drawing>
          <wp:anchor distT="0" distB="0" distL="0" distR="0" simplePos="0" relativeHeight="251666432" behindDoc="0" locked="0" layoutInCell="1" allowOverlap="1">
            <wp:simplePos x="0" y="0"/>
            <wp:positionH relativeFrom="column">
              <wp:posOffset>5904865</wp:posOffset>
            </wp:positionH>
            <wp:positionV relativeFrom="paragraph">
              <wp:posOffset>194945</wp:posOffset>
            </wp:positionV>
            <wp:extent cx="6350" cy="25971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81"/>
                    <a:stretch>
                      <a:fillRect/>
                    </a:stretch>
                  </pic:blipFill>
                  <pic:spPr>
                    <a:xfrm>
                      <a:off x="0" y="0"/>
                      <a:ext cx="6350" cy="259842"/>
                    </a:xfrm>
                    <a:prstGeom prst="rect">
                      <a:avLst/>
                    </a:prstGeom>
                  </pic:spPr>
                </pic:pic>
              </a:graphicData>
            </a:graphic>
          </wp:anchor>
        </w:drawing>
      </w:r>
    </w:p>
    <w:p w14:paraId="5C2065B4">
      <w:pPr>
        <w:spacing w:before="69" w:line="361" w:lineRule="auto"/>
        <w:ind w:left="127" w:right="160" w:hanging="1"/>
        <w:jc w:val="both"/>
        <w:rPr>
          <w:rFonts w:ascii="宋体" w:hAnsi="宋体" w:eastAsia="宋体" w:cs="宋体"/>
          <w:sz w:val="21"/>
          <w:szCs w:val="21"/>
        </w:rPr>
      </w:pPr>
      <w:r>
        <mc:AlternateContent>
          <mc:Choice Requires="wps">
            <w:drawing>
              <wp:anchor distT="0" distB="0" distL="0" distR="0" simplePos="0" relativeHeight="251665408" behindDoc="1" locked="0" layoutInCell="1" allowOverlap="1">
                <wp:simplePos x="0" y="0"/>
                <wp:positionH relativeFrom="column">
                  <wp:posOffset>0</wp:posOffset>
                </wp:positionH>
                <wp:positionV relativeFrom="paragraph">
                  <wp:posOffset>24130</wp:posOffset>
                </wp:positionV>
                <wp:extent cx="5911850" cy="796925"/>
                <wp:effectExtent l="0" t="0" r="0" b="0"/>
                <wp:wrapNone/>
                <wp:docPr id="62" name="Rect 62"/>
                <wp:cNvGraphicFramePr/>
                <a:graphic xmlns:a="http://schemas.openxmlformats.org/drawingml/2006/main">
                  <a:graphicData uri="http://schemas.microsoft.com/office/word/2010/wordprocessingShape">
                    <wps:wsp>
                      <wps:cNvSpPr/>
                      <wps:spPr>
                        <a:xfrm>
                          <a:off x="0" y="24287"/>
                          <a:ext cx="5911850" cy="796925"/>
                        </a:xfrm>
                        <a:prstGeom prst="rect">
                          <a:avLst/>
                        </a:prstGeom>
                        <a:solidFill>
                          <a:srgbClr val="E2E9F6"/>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62" o:spid="_x0000_s1026" o:spt="1" style="position:absolute;left:0pt;margin-left:0pt;margin-top:1.9pt;height:62.75pt;width:465.5pt;z-index:-251651072;mso-width-relative:page;mso-height-relative:page;" fillcolor="#E2E9F6" filled="t" stroked="f" coordsize="21600,21600" o:gfxdata="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JWf6PVAAAABgEAAA8AAAAAAAAAAQAgAAAAIgAAAGRycy9kb3ducmV2LnhtbFBLAQIUABQA&#10;AAAIAIdO4kDnQXx6LAIAAGgEAAAOAAAAAAAAAAEAIAAAACQBAABkcnMvZTJvRG9jLnhtbFBLBQYA&#10;AAAABgAGAFkBAADCBQAAAAA=&#10;">
                <v:fill on="t" focussize="0,0"/>
                <v:stroke on="f" weight="0pt"/>
                <v:imagedata o:title=""/>
                <o:lock v:ext="edit" aspectratio="f"/>
                <v:textbox inset="0mm,0mm,0mm,0mm"/>
              </v:rect>
            </w:pict>
          </mc:Fallback>
        </mc:AlternateContent>
      </w:r>
      <w:r>
        <w:drawing>
          <wp:anchor distT="0" distB="0" distL="0" distR="0" simplePos="0" relativeHeight="251667456" behindDoc="0" locked="0" layoutInCell="1" allowOverlap="1">
            <wp:simplePos x="0" y="0"/>
            <wp:positionH relativeFrom="column">
              <wp:posOffset>0</wp:posOffset>
            </wp:positionH>
            <wp:positionV relativeFrom="paragraph">
              <wp:posOffset>814070</wp:posOffset>
            </wp:positionV>
            <wp:extent cx="6350" cy="635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78"/>
                    <a:stretch>
                      <a:fillRect/>
                    </a:stretch>
                  </pic:blipFill>
                  <pic:spPr>
                    <a:xfrm>
                      <a:off x="0" y="0"/>
                      <a:ext cx="6350" cy="6350"/>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5904865</wp:posOffset>
            </wp:positionH>
            <wp:positionV relativeFrom="paragraph">
              <wp:posOffset>814070</wp:posOffset>
            </wp:positionV>
            <wp:extent cx="6350" cy="635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78"/>
                    <a:stretch>
                      <a:fillRect/>
                    </a:stretch>
                  </pic:blipFill>
                  <pic:spPr>
                    <a:xfrm>
                      <a:off x="0" y="0"/>
                      <a:ext cx="6350" cy="6350"/>
                    </a:xfrm>
                    <a:prstGeom prst="rect">
                      <a:avLst/>
                    </a:prstGeom>
                  </pic:spPr>
                </pic:pic>
              </a:graphicData>
            </a:graphic>
          </wp:anchor>
        </w:drawing>
      </w:r>
      <w:r>
        <w:rPr>
          <w:rFonts w:ascii="宋体" w:hAnsi="宋体" w:eastAsia="宋体" w:cs="宋体"/>
          <w:color w:val="2F5496"/>
          <w:sz w:val="21"/>
          <w:szCs w:val="21"/>
        </w:rPr>
        <w:t>检测单位根据混凝土灌注的体积，结合本条对混凝土试块留置数量的要求进</w:t>
      </w:r>
      <w:r>
        <w:rPr>
          <w:rFonts w:ascii="宋体" w:hAnsi="宋体" w:eastAsia="宋体" w:cs="宋体"/>
          <w:color w:val="2F5496"/>
          <w:spacing w:val="-1"/>
          <w:sz w:val="21"/>
          <w:szCs w:val="21"/>
        </w:rPr>
        <w:t>行检验，检验的质量应</w:t>
      </w:r>
      <w:r>
        <w:rPr>
          <w:rFonts w:ascii="宋体" w:hAnsi="宋体" w:eastAsia="宋体" w:cs="宋体"/>
          <w:color w:val="2F5496"/>
          <w:sz w:val="21"/>
          <w:szCs w:val="21"/>
        </w:rPr>
        <w:t xml:space="preserve"> 符合设计要求。可以根据检测单位提供的检测报告对混凝土强度进行验收</w:t>
      </w:r>
      <w:r>
        <w:rPr>
          <w:rFonts w:ascii="宋体" w:hAnsi="宋体" w:eastAsia="宋体" w:cs="宋体"/>
          <w:color w:val="2F5496"/>
          <w:spacing w:val="-1"/>
          <w:sz w:val="21"/>
          <w:szCs w:val="21"/>
        </w:rPr>
        <w:t>，满足要求后方可进行后</w:t>
      </w:r>
      <w:r>
        <w:rPr>
          <w:rFonts w:ascii="宋体" w:hAnsi="宋体" w:eastAsia="宋体" w:cs="宋体"/>
          <w:color w:val="2F5496"/>
          <w:sz w:val="21"/>
          <w:szCs w:val="21"/>
        </w:rPr>
        <w:t xml:space="preserve"> </w:t>
      </w:r>
      <w:r>
        <w:rPr>
          <w:rFonts w:ascii="宋体" w:hAnsi="宋体" w:eastAsia="宋体" w:cs="宋体"/>
          <w:color w:val="2F5496"/>
          <w:spacing w:val="-8"/>
          <w:sz w:val="21"/>
          <w:szCs w:val="21"/>
        </w:rPr>
        <w:t>续施工。</w:t>
      </w:r>
    </w:p>
    <w:p w14:paraId="6928FDC5">
      <w:pPr>
        <w:spacing w:before="295" w:line="220" w:lineRule="auto"/>
        <w:ind w:left="116"/>
        <w:rPr>
          <w:rFonts w:ascii="宋体" w:hAnsi="宋体" w:eastAsia="宋体" w:cs="宋体"/>
          <w:sz w:val="24"/>
          <w:szCs w:val="24"/>
        </w:rPr>
      </w:pPr>
      <w:r>
        <w:rPr>
          <w:rFonts w:ascii="宋体" w:hAnsi="宋体" w:eastAsia="宋体" w:cs="宋体"/>
          <w:spacing w:val="2"/>
          <w:sz w:val="24"/>
          <w:szCs w:val="24"/>
        </w:rPr>
        <w:t>【</w:t>
      </w:r>
      <w:r>
        <w:rPr>
          <w:rFonts w:ascii="宋体" w:hAnsi="宋体" w:eastAsia="宋体" w:cs="宋体"/>
          <w:color w:val="0563C1"/>
          <w:spacing w:val="2"/>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2"/>
          <w:sz w:val="24"/>
          <w:szCs w:val="24"/>
          <w:u w:val="single" w:color="auto"/>
        </w:rPr>
        <w:t>55003-2021</w:t>
      </w:r>
      <w:r>
        <w:rPr>
          <w:rFonts w:ascii="宋体" w:hAnsi="宋体" w:eastAsia="宋体" w:cs="宋体"/>
          <w:color w:val="FF0000"/>
          <w:spacing w:val="2"/>
          <w:sz w:val="24"/>
          <w:szCs w:val="24"/>
        </w:rPr>
        <w:t>对应条文</w:t>
      </w:r>
      <w:r>
        <w:rPr>
          <w:rFonts w:ascii="宋体" w:hAnsi="宋体" w:eastAsia="宋体" w:cs="宋体"/>
          <w:spacing w:val="2"/>
          <w:sz w:val="24"/>
          <w:szCs w:val="24"/>
        </w:rPr>
        <w:t>】</w:t>
      </w:r>
    </w:p>
    <w:p w14:paraId="3D5586E0">
      <w:pPr>
        <w:spacing w:before="310" w:line="220" w:lineRule="auto"/>
        <w:ind w:left="130"/>
        <w:rPr>
          <w:rFonts w:ascii="宋体" w:hAnsi="宋体" w:eastAsia="宋体" w:cs="宋体"/>
          <w:sz w:val="24"/>
          <w:szCs w:val="24"/>
        </w:rPr>
      </w:pPr>
      <w:r>
        <w:rPr>
          <w:rFonts w:ascii="Times New Roman" w:hAnsi="Times New Roman" w:eastAsia="Times New Roman" w:cs="Times New Roman"/>
          <w:spacing w:val="-2"/>
          <w:sz w:val="24"/>
          <w:szCs w:val="24"/>
        </w:rPr>
        <w:t xml:space="preserve">5.4.3    </w:t>
      </w:r>
      <w:r>
        <w:rPr>
          <w:rFonts w:ascii="宋体" w:hAnsi="宋体" w:eastAsia="宋体" w:cs="宋体"/>
          <w:spacing w:val="-2"/>
          <w:sz w:val="24"/>
          <w:szCs w:val="24"/>
        </w:rPr>
        <w:t>桩基工程施工验收检验</w:t>
      </w:r>
      <w:r>
        <w:rPr>
          <w:rFonts w:ascii="宋体" w:hAnsi="宋体" w:eastAsia="宋体" w:cs="宋体"/>
          <w:spacing w:val="-3"/>
          <w:sz w:val="24"/>
          <w:szCs w:val="24"/>
        </w:rPr>
        <w:t>，应符合下列规定：</w:t>
      </w:r>
    </w:p>
    <w:p w14:paraId="1E0561D7">
      <w:pPr>
        <w:spacing w:before="310" w:line="279" w:lineRule="auto"/>
        <w:ind w:left="128" w:right="202" w:firstLine="498"/>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、施工完成后的工程桩应进行竖向承载力检验，承受水平力较大的桩</w:t>
      </w:r>
      <w:r>
        <w:rPr>
          <w:rFonts w:ascii="宋体" w:hAnsi="宋体" w:eastAsia="宋体" w:cs="宋体"/>
          <w:spacing w:val="-2"/>
          <w:sz w:val="24"/>
          <w:szCs w:val="24"/>
        </w:rPr>
        <w:t>应进行水平</w:t>
      </w:r>
      <w:r>
        <w:rPr>
          <w:rFonts w:ascii="宋体" w:hAnsi="宋体" w:eastAsia="宋体" w:cs="宋体"/>
          <w:sz w:val="24"/>
          <w:szCs w:val="24"/>
        </w:rPr>
        <w:t xml:space="preserve"> </w:t>
      </w:r>
      <w:r>
        <w:rPr>
          <w:rFonts w:ascii="宋体" w:hAnsi="宋体" w:eastAsia="宋体" w:cs="宋体"/>
          <w:spacing w:val="-4"/>
          <w:sz w:val="24"/>
          <w:szCs w:val="24"/>
        </w:rPr>
        <w:t>承载力检验，抗拔桩应进行抗拔承载力检验；</w:t>
      </w:r>
    </w:p>
    <w:p w14:paraId="3BDB39EE">
      <w:pPr>
        <w:spacing w:before="155" w:line="278" w:lineRule="auto"/>
        <w:ind w:left="128" w:right="209" w:firstLine="475"/>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、灌注桩应对孔深、桩径、桩位偏差、桩身完整性进行检验，嵌岩桩应对桩端的</w:t>
      </w:r>
      <w:r>
        <w:rPr>
          <w:rFonts w:ascii="宋体" w:hAnsi="宋体" w:eastAsia="宋体" w:cs="宋体"/>
          <w:spacing w:val="11"/>
          <w:sz w:val="24"/>
          <w:szCs w:val="24"/>
        </w:rPr>
        <w:t xml:space="preserve"> </w:t>
      </w:r>
      <w:r>
        <w:rPr>
          <w:rFonts w:ascii="宋体" w:hAnsi="宋体" w:eastAsia="宋体" w:cs="宋体"/>
          <w:spacing w:val="-2"/>
          <w:sz w:val="24"/>
          <w:szCs w:val="24"/>
        </w:rPr>
        <w:t>岩性进行检验，</w:t>
      </w:r>
      <w:r>
        <w:rPr>
          <w:rFonts w:ascii="宋体" w:hAnsi="宋体" w:eastAsia="宋体" w:cs="宋体"/>
          <w:b/>
          <w:bCs/>
          <w:color w:val="7030A0"/>
          <w:spacing w:val="-2"/>
          <w:sz w:val="24"/>
          <w:szCs w:val="24"/>
        </w:rPr>
        <w:t>灌注桩混凝土强度检验的试件应在施工现场随机留取</w:t>
      </w:r>
      <w:r>
        <w:rPr>
          <w:rFonts w:ascii="宋体" w:hAnsi="宋体" w:eastAsia="宋体" w:cs="宋体"/>
          <w:spacing w:val="-2"/>
          <w:sz w:val="24"/>
          <w:szCs w:val="24"/>
        </w:rPr>
        <w:t>；</w:t>
      </w:r>
    </w:p>
    <w:p w14:paraId="78D357A0">
      <w:pPr>
        <w:spacing w:before="155" w:line="220" w:lineRule="auto"/>
        <w:ind w:left="608"/>
        <w:rPr>
          <w:rFonts w:ascii="宋体" w:hAnsi="宋体" w:eastAsia="宋体" w:cs="宋体"/>
          <w:sz w:val="24"/>
          <w:szCs w:val="24"/>
        </w:rPr>
      </w:pPr>
      <w:r>
        <w:rPr>
          <w:rFonts w:ascii="Times New Roman" w:hAnsi="Times New Roman" w:eastAsia="Times New Roman" w:cs="Times New Roman"/>
          <w:spacing w:val="-3"/>
          <w:sz w:val="24"/>
          <w:szCs w:val="24"/>
        </w:rPr>
        <w:t>3</w:t>
      </w:r>
      <w:r>
        <w:rPr>
          <w:rFonts w:ascii="宋体" w:hAnsi="宋体" w:eastAsia="宋体" w:cs="宋体"/>
          <w:spacing w:val="-3"/>
          <w:sz w:val="24"/>
          <w:szCs w:val="24"/>
        </w:rPr>
        <w:t>、混凝土预制桩应对桩位偏差、桩身完整性进行检验；</w:t>
      </w:r>
    </w:p>
    <w:p w14:paraId="7913B382">
      <w:pPr>
        <w:spacing w:before="154" w:line="219" w:lineRule="auto"/>
        <w:ind w:left="602"/>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、钢桩应对桩位偏差、断面尺寸、桩长和</w:t>
      </w:r>
      <w:r>
        <w:rPr>
          <w:rFonts w:ascii="宋体" w:hAnsi="宋体" w:eastAsia="宋体" w:cs="宋体"/>
          <w:spacing w:val="-3"/>
          <w:sz w:val="24"/>
          <w:szCs w:val="24"/>
        </w:rPr>
        <w:t>矢高进行检验；</w:t>
      </w:r>
    </w:p>
    <w:p w14:paraId="16156F31">
      <w:pPr>
        <w:spacing w:before="154" w:line="220" w:lineRule="auto"/>
        <w:ind w:left="610"/>
        <w:rPr>
          <w:rFonts w:ascii="宋体" w:hAnsi="宋体" w:eastAsia="宋体" w:cs="宋体"/>
          <w:sz w:val="24"/>
          <w:szCs w:val="24"/>
        </w:rPr>
      </w:pPr>
      <w:r>
        <w:rPr>
          <w:rFonts w:ascii="Times New Roman" w:hAnsi="Times New Roman" w:eastAsia="Times New Roman" w:cs="Times New Roman"/>
          <w:spacing w:val="-3"/>
          <w:sz w:val="24"/>
          <w:szCs w:val="24"/>
        </w:rPr>
        <w:t>5</w:t>
      </w:r>
      <w:r>
        <w:rPr>
          <w:rFonts w:ascii="宋体" w:hAnsi="宋体" w:eastAsia="宋体" w:cs="宋体"/>
          <w:spacing w:val="-3"/>
          <w:sz w:val="24"/>
          <w:szCs w:val="24"/>
        </w:rPr>
        <w:t>、人工挖孔桩终孔时，应进行桩端持力层检验；</w:t>
      </w:r>
    </w:p>
    <w:p w14:paraId="4841C9A0">
      <w:pPr>
        <w:spacing w:before="156" w:line="279" w:lineRule="auto"/>
        <w:ind w:left="157" w:right="243" w:firstLine="451"/>
        <w:rPr>
          <w:rFonts w:ascii="宋体" w:hAnsi="宋体" w:eastAsia="宋体" w:cs="宋体"/>
          <w:sz w:val="24"/>
          <w:szCs w:val="24"/>
        </w:rPr>
      </w:pPr>
      <w:r>
        <w:rPr>
          <w:rFonts w:ascii="Times New Roman" w:hAnsi="Times New Roman" w:eastAsia="Times New Roman" w:cs="Times New Roman"/>
          <w:spacing w:val="-1"/>
          <w:sz w:val="24"/>
          <w:szCs w:val="24"/>
        </w:rPr>
        <w:t>6</w:t>
      </w:r>
      <w:r>
        <w:rPr>
          <w:rFonts w:ascii="宋体" w:hAnsi="宋体" w:eastAsia="宋体" w:cs="宋体"/>
          <w:spacing w:val="-1"/>
          <w:sz w:val="24"/>
          <w:szCs w:val="24"/>
        </w:rPr>
        <w:t>、单柱单桩的大直径嵌岩桩，应视岩性检验孔底下</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倍桩身</w:t>
      </w:r>
      <w:r>
        <w:rPr>
          <w:rFonts w:ascii="宋体" w:hAnsi="宋体" w:eastAsia="宋体" w:cs="宋体"/>
          <w:spacing w:val="-2"/>
          <w:sz w:val="24"/>
          <w:szCs w:val="24"/>
        </w:rPr>
        <w:t>直径或</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 xml:space="preserve">5m </w:t>
      </w:r>
      <w:r>
        <w:rPr>
          <w:rFonts w:ascii="宋体" w:hAnsi="宋体" w:eastAsia="宋体" w:cs="宋体"/>
          <w:spacing w:val="-2"/>
          <w:sz w:val="24"/>
          <w:szCs w:val="24"/>
        </w:rPr>
        <w:t>深度范围</w:t>
      </w:r>
      <w:r>
        <w:rPr>
          <w:rFonts w:ascii="宋体" w:hAnsi="宋体" w:eastAsia="宋体" w:cs="宋体"/>
          <w:sz w:val="24"/>
          <w:szCs w:val="24"/>
        </w:rPr>
        <w:t xml:space="preserve"> </w:t>
      </w:r>
      <w:r>
        <w:rPr>
          <w:rFonts w:ascii="宋体" w:hAnsi="宋体" w:eastAsia="宋体" w:cs="宋体"/>
          <w:spacing w:val="-4"/>
          <w:sz w:val="24"/>
          <w:szCs w:val="24"/>
        </w:rPr>
        <w:t>内有无溶洞、破碎带或软弱夹层等不良地质条件。</w:t>
      </w:r>
    </w:p>
    <w:p w14:paraId="271A666E">
      <w:pPr>
        <w:spacing w:line="102" w:lineRule="auto"/>
        <w:rPr>
          <w:rFonts w:ascii="Arial"/>
          <w:sz w:val="2"/>
        </w:rPr>
      </w:pPr>
    </w:p>
    <w:tbl>
      <w:tblPr>
        <w:tblStyle w:val="5"/>
        <w:tblW w:w="9304" w:type="dxa"/>
        <w:tblInd w:w="2" w:type="dxa"/>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Layout w:type="fixed"/>
        <w:tblCellMar>
          <w:top w:w="0" w:type="dxa"/>
          <w:left w:w="0" w:type="dxa"/>
          <w:bottom w:w="0" w:type="dxa"/>
          <w:right w:w="0" w:type="dxa"/>
        </w:tblCellMar>
      </w:tblPr>
      <w:tblGrid>
        <w:gridCol w:w="9304"/>
      </w:tblGrid>
      <w:tr w14:paraId="5C43A6EA">
        <w:tblPrEx>
          <w:tblBorders>
            <w:top w:val="single" w:color="8EAADB" w:sz="2" w:space="0"/>
            <w:left w:val="single" w:color="8EAADB" w:sz="2" w:space="0"/>
            <w:bottom w:val="single" w:color="8EAADB" w:sz="2" w:space="0"/>
            <w:right w:val="single" w:color="8EAADB" w:sz="2" w:space="0"/>
            <w:insideH w:val="none" w:color="auto" w:sz="0" w:space="0"/>
            <w:insideV w:val="none" w:color="auto" w:sz="0" w:space="0"/>
          </w:tblBorders>
          <w:shd w:val="clear" w:color="auto" w:fill="E2E9F6"/>
          <w:tblCellMar>
            <w:top w:w="0" w:type="dxa"/>
            <w:left w:w="0" w:type="dxa"/>
            <w:bottom w:w="0" w:type="dxa"/>
            <w:right w:w="0" w:type="dxa"/>
          </w:tblCellMar>
        </w:tblPrEx>
        <w:trPr>
          <w:trHeight w:val="3880" w:hRule="atLeast"/>
        </w:trPr>
        <w:tc>
          <w:tcPr>
            <w:tcW w:w="9304" w:type="dxa"/>
            <w:shd w:val="clear" w:color="auto" w:fill="E2E9F6"/>
            <w:vAlign w:val="top"/>
          </w:tcPr>
          <w:p w14:paraId="5E610509">
            <w:pPr>
              <w:pStyle w:val="6"/>
              <w:spacing w:before="54" w:line="220" w:lineRule="auto"/>
              <w:ind w:left="123"/>
            </w:pPr>
            <w:r>
              <w:rPr>
                <w:color w:val="2F5496"/>
                <w:spacing w:val="-10"/>
              </w:rPr>
              <w:t>条文说明：</w:t>
            </w:r>
          </w:p>
          <w:p w14:paraId="07AB44F9">
            <w:pPr>
              <w:spacing w:line="245" w:lineRule="auto"/>
              <w:rPr>
                <w:rFonts w:ascii="Arial"/>
                <w:sz w:val="21"/>
              </w:rPr>
            </w:pPr>
          </w:p>
          <w:p w14:paraId="05499E39">
            <w:pPr>
              <w:pStyle w:val="6"/>
              <w:spacing w:before="68" w:line="359" w:lineRule="auto"/>
              <w:ind w:left="122" w:right="155" w:firstLine="1"/>
            </w:pPr>
            <w:r>
              <w:rPr>
                <w:rFonts w:ascii="Times New Roman" w:hAnsi="Times New Roman" w:eastAsia="Times New Roman" w:cs="Times New Roman"/>
                <w:color w:val="2F5496"/>
              </w:rPr>
              <w:t xml:space="preserve">5.4.3    </w:t>
            </w:r>
            <w:r>
              <w:rPr>
                <w:color w:val="2F5496"/>
              </w:rPr>
              <w:t>本条是对桩基工程施工验收检验提出的具体要求。竖向承载桩的</w:t>
            </w:r>
            <w:r>
              <w:rPr>
                <w:color w:val="2F5496"/>
                <w:spacing w:val="-1"/>
              </w:rPr>
              <w:t>承载力对上部结构的安全稳</w:t>
            </w:r>
            <w:r>
              <w:rPr>
                <w:color w:val="2F5496"/>
              </w:rPr>
              <w:t xml:space="preserve"> 定具有至关重要的意义。承载力检验不仅能检验施工的质量，而且也能检</w:t>
            </w:r>
            <w:r>
              <w:rPr>
                <w:color w:val="2F5496"/>
                <w:spacing w:val="-1"/>
              </w:rPr>
              <w:t>验设计是否达到工程的要</w:t>
            </w:r>
            <w:r>
              <w:rPr>
                <w:color w:val="2F5496"/>
              </w:rPr>
              <w:t xml:space="preserve"> 求。人工挖孔桩应逐孔进行终孔验收检验，终孔验收检验的重点是持力层</w:t>
            </w:r>
            <w:r>
              <w:rPr>
                <w:color w:val="2F5496"/>
                <w:spacing w:val="-1"/>
              </w:rPr>
              <w:t>的岩土特征。对单柱单桩</w:t>
            </w:r>
            <w:r>
              <w:rPr>
                <w:color w:val="2F5496"/>
              </w:rPr>
              <w:t xml:space="preserve"> 的大直径嵌岩桩，承载能力主要取决于嵌岩段岩性特征和下卧层的持力性</w:t>
            </w:r>
            <w:r>
              <w:rPr>
                <w:color w:val="2F5496"/>
                <w:spacing w:val="-1"/>
              </w:rPr>
              <w:t>状，终孔时，应用超前钻</w:t>
            </w:r>
            <w:r>
              <w:rPr>
                <w:color w:val="2F5496"/>
              </w:rPr>
              <w:t xml:space="preserve"> </w:t>
            </w:r>
            <w:r>
              <w:rPr>
                <w:color w:val="2F5496"/>
                <w:spacing w:val="-1"/>
              </w:rPr>
              <w:t>逐孔对孔底下</w:t>
            </w:r>
            <w:r>
              <w:rPr>
                <w:color w:val="2F5496"/>
                <w:spacing w:val="-28"/>
              </w:rPr>
              <w:t xml:space="preserve"> </w:t>
            </w:r>
            <w:r>
              <w:rPr>
                <w:rFonts w:ascii="Times New Roman" w:hAnsi="Times New Roman" w:eastAsia="Times New Roman" w:cs="Times New Roman"/>
                <w:color w:val="2F5496"/>
                <w:spacing w:val="-1"/>
              </w:rPr>
              <w:t xml:space="preserve">3d </w:t>
            </w:r>
            <w:r>
              <w:rPr>
                <w:color w:val="2F5496"/>
                <w:spacing w:val="-1"/>
              </w:rPr>
              <w:t>或</w:t>
            </w:r>
            <w:r>
              <w:rPr>
                <w:color w:val="2F5496"/>
                <w:spacing w:val="-42"/>
              </w:rPr>
              <w:t xml:space="preserve"> </w:t>
            </w:r>
            <w:r>
              <w:rPr>
                <w:rFonts w:ascii="Times New Roman" w:hAnsi="Times New Roman" w:eastAsia="Times New Roman" w:cs="Times New Roman"/>
                <w:color w:val="2F5496"/>
                <w:spacing w:val="-1"/>
              </w:rPr>
              <w:t xml:space="preserve">5m </w:t>
            </w:r>
            <w:r>
              <w:rPr>
                <w:color w:val="2F5496"/>
                <w:spacing w:val="-1"/>
              </w:rPr>
              <w:t>深度范围内持力层进行检验，查明是否存在溶洞、破碎带和软夹层等，并</w:t>
            </w:r>
            <w:r>
              <w:rPr>
                <w:color w:val="2F5496"/>
              </w:rPr>
              <w:t xml:space="preserve">  提供岩芯抗压强度试验报告。如人工挖孔桩终孔验收检验发现与勘察报告</w:t>
            </w:r>
            <w:r>
              <w:rPr>
                <w:color w:val="2F5496"/>
                <w:spacing w:val="-1"/>
              </w:rPr>
              <w:t>及设计文件不一致时，应</w:t>
            </w:r>
            <w:r>
              <w:rPr>
                <w:color w:val="2F5496"/>
              </w:rPr>
              <w:t xml:space="preserve"> 由设计人员提出处理意见。缺少经验时，应进行桩端持力层岩基原位载荷</w:t>
            </w:r>
            <w:r>
              <w:rPr>
                <w:color w:val="2F5496"/>
                <w:spacing w:val="-1"/>
              </w:rPr>
              <w:t>试验。对桩基验收检验</w:t>
            </w:r>
          </w:p>
          <w:p w14:paraId="0328D459">
            <w:pPr>
              <w:pStyle w:val="6"/>
              <w:spacing w:line="219" w:lineRule="auto"/>
              <w:ind w:left="131"/>
            </w:pPr>
            <w:r>
              <w:rPr>
                <w:color w:val="2F5496"/>
                <w:spacing w:val="-2"/>
              </w:rPr>
              <w:t>时，应核查验收检验项目、内容及检验结果的完整性、准确性和有效性。</w:t>
            </w:r>
          </w:p>
        </w:tc>
      </w:tr>
    </w:tbl>
    <w:p w14:paraId="76D823BD">
      <w:pPr>
        <w:pStyle w:val="2"/>
        <w:spacing w:line="241" w:lineRule="auto"/>
      </w:pPr>
    </w:p>
    <w:p w14:paraId="6474C441">
      <w:pPr>
        <w:spacing w:before="88" w:line="226" w:lineRule="auto"/>
        <w:ind w:left="128"/>
        <w:outlineLvl w:val="2"/>
        <w:rPr>
          <w:rFonts w:ascii="宋体" w:hAnsi="宋体" w:eastAsia="宋体" w:cs="宋体"/>
          <w:sz w:val="27"/>
          <w:szCs w:val="27"/>
        </w:rPr>
      </w:pPr>
      <w:bookmarkStart w:id="3" w:name="bookmark52"/>
      <w:bookmarkEnd w:id="3"/>
      <w:r>
        <w:rPr>
          <w:rFonts w:ascii="Times New Roman" w:hAnsi="Times New Roman" w:eastAsia="Times New Roman" w:cs="Times New Roman"/>
          <w:b/>
          <w:bCs/>
          <w:spacing w:val="5"/>
          <w:sz w:val="27"/>
          <w:szCs w:val="27"/>
        </w:rPr>
        <w:t>8.</w:t>
      </w:r>
      <w:r>
        <w:rPr>
          <w:rFonts w:ascii="Times New Roman" w:hAnsi="Times New Roman" w:eastAsia="Times New Roman" w:cs="Times New Roman"/>
          <w:b/>
          <w:bCs/>
          <w:spacing w:val="-41"/>
          <w:sz w:val="27"/>
          <w:szCs w:val="27"/>
        </w:rPr>
        <w:t xml:space="preserve"> </w:t>
      </w:r>
      <w:r>
        <w:rPr>
          <w:rFonts w:ascii="宋体" w:hAnsi="宋体" w:eastAsia="宋体" w:cs="宋体"/>
          <w:b/>
          <w:bCs/>
          <w:spacing w:val="5"/>
          <w:sz w:val="27"/>
          <w:szCs w:val="27"/>
        </w:rPr>
        <w:t>《地下防水工程质量验收规范》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5"/>
          <w:sz w:val="27"/>
          <w:szCs w:val="27"/>
        </w:rPr>
        <w:t>50208-</w:t>
      </w:r>
      <w:r>
        <w:rPr>
          <w:rFonts w:ascii="Times New Roman" w:hAnsi="Times New Roman" w:eastAsia="Times New Roman" w:cs="Times New Roman"/>
          <w:b/>
          <w:bCs/>
          <w:spacing w:val="4"/>
          <w:sz w:val="27"/>
          <w:szCs w:val="27"/>
        </w:rPr>
        <w:t>2011</w:t>
      </w:r>
      <w:r>
        <w:rPr>
          <w:rFonts w:ascii="Times New Roman" w:hAnsi="Times New Roman" w:eastAsia="Times New Roman" w:cs="Times New Roman"/>
          <w:b/>
          <w:bCs/>
          <w:spacing w:val="-45"/>
          <w:sz w:val="27"/>
          <w:szCs w:val="27"/>
        </w:rPr>
        <w:t xml:space="preserve"> </w:t>
      </w:r>
      <w:r>
        <w:rPr>
          <w:rFonts w:ascii="宋体" w:hAnsi="宋体" w:eastAsia="宋体" w:cs="宋体"/>
          <w:b/>
          <w:bCs/>
          <w:spacing w:val="4"/>
          <w:sz w:val="27"/>
          <w:szCs w:val="27"/>
        </w:rPr>
        <w:t>【强条已废】</w:t>
      </w:r>
    </w:p>
    <w:p w14:paraId="54CEBE71">
      <w:pPr>
        <w:spacing w:before="285" w:line="220" w:lineRule="auto"/>
        <w:ind w:left="116"/>
        <w:rPr>
          <w:rFonts w:ascii="宋体" w:hAnsi="宋体" w:eastAsia="宋体" w:cs="宋体"/>
          <w:sz w:val="24"/>
          <w:szCs w:val="24"/>
        </w:rPr>
      </w:pPr>
      <w:r>
        <w:rPr>
          <w:rFonts w:ascii="宋体" w:hAnsi="宋体" w:eastAsia="宋体" w:cs="宋体"/>
          <w:sz w:val="24"/>
          <w:szCs w:val="24"/>
        </w:rPr>
        <w:t>【</w:t>
      </w:r>
      <w:r>
        <w:rPr>
          <w:rFonts w:ascii="宋体" w:hAnsi="宋体" w:eastAsia="宋体" w:cs="宋体"/>
          <w:spacing w:val="-49"/>
          <w:sz w:val="24"/>
          <w:szCs w:val="24"/>
        </w:rPr>
        <w:t xml:space="preserve"> </w:t>
      </w:r>
      <w:r>
        <w:rPr>
          <w:rFonts w:ascii="宋体" w:hAnsi="宋体" w:eastAsia="宋体" w:cs="宋体"/>
          <w:color w:val="FF0000"/>
          <w:sz w:val="24"/>
          <w:szCs w:val="24"/>
        </w:rPr>
        <w:t>以下条目已被</w:t>
      </w:r>
      <w:r>
        <w:rPr>
          <w:rFonts w:ascii="宋体" w:hAnsi="宋体" w:eastAsia="宋体" w:cs="宋体"/>
          <w:color w:val="0563C1"/>
          <w:sz w:val="24"/>
          <w:szCs w:val="24"/>
          <w:u w:val="single" w:color="auto"/>
        </w:rPr>
        <w:t>《建筑与市政工程防水通用规范》</w:t>
      </w:r>
      <w:r>
        <w:rPr>
          <w:rFonts w:ascii="Times New Roman" w:hAnsi="Times New Roman" w:eastAsia="Times New Roman" w:cs="Times New Roman"/>
          <w:color w:val="0563C1"/>
          <w:sz w:val="24"/>
          <w:szCs w:val="24"/>
          <w:u w:val="single" w:color="auto"/>
        </w:rPr>
        <w:t>GB550</w:t>
      </w:r>
      <w:r>
        <w:rPr>
          <w:rFonts w:ascii="Times New Roman" w:hAnsi="Times New Roman" w:eastAsia="Times New Roman" w:cs="Times New Roman"/>
          <w:color w:val="0563C1"/>
          <w:spacing w:val="-1"/>
          <w:sz w:val="24"/>
          <w:szCs w:val="24"/>
          <w:u w:val="single" w:color="auto"/>
        </w:rPr>
        <w:t>30-2022</w:t>
      </w:r>
      <w:r>
        <w:rPr>
          <w:rFonts w:ascii="宋体" w:hAnsi="宋体" w:eastAsia="宋体" w:cs="宋体"/>
          <w:color w:val="FF0000"/>
          <w:spacing w:val="-1"/>
          <w:sz w:val="24"/>
          <w:szCs w:val="24"/>
        </w:rPr>
        <w:t>替代</w:t>
      </w:r>
      <w:r>
        <w:rPr>
          <w:rFonts w:ascii="宋体" w:hAnsi="宋体" w:eastAsia="宋体" w:cs="宋体"/>
          <w:spacing w:val="-1"/>
          <w:sz w:val="24"/>
          <w:szCs w:val="24"/>
        </w:rPr>
        <w:t>】</w:t>
      </w:r>
    </w:p>
    <w:p w14:paraId="7E214BA9">
      <w:pPr>
        <w:spacing w:before="156" w:line="338" w:lineRule="auto"/>
        <w:ind w:left="131" w:right="190" w:hanging="9"/>
        <w:rPr>
          <w:rFonts w:ascii="宋体" w:hAnsi="宋体" w:eastAsia="宋体" w:cs="宋体"/>
          <w:sz w:val="24"/>
          <w:szCs w:val="24"/>
        </w:rPr>
      </w:pPr>
      <w:r>
        <w:rPr>
          <w:rFonts w:ascii="Times New Roman" w:hAnsi="Times New Roman" w:eastAsia="Times New Roman" w:cs="Times New Roman"/>
          <w:strike/>
          <w:sz w:val="24"/>
          <w:szCs w:val="24"/>
        </w:rPr>
        <w:t xml:space="preserve">4.1.16    </w:t>
      </w:r>
      <w:r>
        <w:rPr>
          <w:rFonts w:ascii="宋体" w:hAnsi="宋体" w:eastAsia="宋体" w:cs="宋体"/>
          <w:strike/>
          <w:sz w:val="24"/>
          <w:szCs w:val="24"/>
        </w:rPr>
        <w:t>防水混凝土结构的施工缝、变形缝、后浇带、穿墙管、埋设件等设</w:t>
      </w:r>
      <w:r>
        <w:rPr>
          <w:rFonts w:ascii="宋体" w:hAnsi="宋体" w:eastAsia="宋体" w:cs="宋体"/>
          <w:strike/>
          <w:spacing w:val="-1"/>
          <w:sz w:val="24"/>
          <w:szCs w:val="24"/>
        </w:rPr>
        <w:t>置和构造必</w:t>
      </w:r>
      <w:r>
        <w:rPr>
          <w:rFonts w:ascii="宋体" w:hAnsi="宋体" w:eastAsia="宋体" w:cs="宋体"/>
          <w:sz w:val="24"/>
          <w:szCs w:val="24"/>
        </w:rPr>
        <w:t xml:space="preserve"> </w:t>
      </w:r>
      <w:r>
        <w:rPr>
          <w:rFonts w:ascii="宋体" w:hAnsi="宋体" w:eastAsia="宋体" w:cs="宋体"/>
          <w:strike/>
          <w:spacing w:val="-2"/>
          <w:sz w:val="24"/>
          <w:szCs w:val="24"/>
        </w:rPr>
        <w:t>须符合设计要求。</w:t>
      </w:r>
    </w:p>
    <w:p w14:paraId="1F4F289C">
      <w:pPr>
        <w:tabs>
          <w:tab w:val="left" w:pos="597"/>
        </w:tabs>
        <w:spacing w:line="219" w:lineRule="auto"/>
        <w:ind w:left="118"/>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99"/>
          <w:sz w:val="24"/>
          <w:szCs w:val="24"/>
        </w:rPr>
        <w:t xml:space="preserve"> </w:t>
      </w:r>
      <w:r>
        <w:rPr>
          <w:rFonts w:ascii="宋体" w:hAnsi="宋体" w:eastAsia="宋体" w:cs="宋体"/>
          <w:strike/>
          <w:spacing w:val="-1"/>
          <w:sz w:val="24"/>
          <w:szCs w:val="24"/>
        </w:rPr>
        <w:t>检验方法：观察检查和检查隐蔽工程验收记录。</w:t>
      </w:r>
    </w:p>
    <w:p w14:paraId="52D0B373">
      <w:pPr>
        <w:tabs>
          <w:tab w:val="left" w:pos="357"/>
        </w:tabs>
        <w:spacing w:before="155" w:line="279" w:lineRule="auto"/>
        <w:ind w:left="118" w:right="290" w:firstLine="3"/>
        <w:rPr>
          <w:rFonts w:ascii="宋体" w:hAnsi="宋体" w:eastAsia="宋体" w:cs="宋体"/>
          <w:sz w:val="24"/>
          <w:szCs w:val="24"/>
        </w:rPr>
      </w:pPr>
      <w:r>
        <w:rPr>
          <w:rFonts w:ascii="Times New Roman" w:hAnsi="Times New Roman" w:eastAsia="Times New Roman" w:cs="Times New Roman"/>
          <w:strike/>
          <w:spacing w:val="-1"/>
          <w:sz w:val="24"/>
          <w:szCs w:val="24"/>
        </w:rPr>
        <w:t xml:space="preserve">4.4.8    </w:t>
      </w:r>
      <w:r>
        <w:rPr>
          <w:rFonts w:ascii="宋体" w:hAnsi="宋体" w:eastAsia="宋体" w:cs="宋体"/>
          <w:strike/>
          <w:spacing w:val="-1"/>
          <w:sz w:val="24"/>
          <w:szCs w:val="24"/>
        </w:rPr>
        <w:t>涂料防水层的平均厚度应符合设计要求，最小厚度不得小于设计厚度的</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90%</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r>
        <w:rPr>
          <w:rFonts w:ascii="宋体" w:hAnsi="宋体" w:eastAsia="宋体" w:cs="宋体"/>
          <w:sz w:val="24"/>
          <w:szCs w:val="24"/>
        </w:rPr>
        <w:t xml:space="preserve"> </w:t>
      </w:r>
      <w:r>
        <w:rPr>
          <w:rFonts w:ascii="宋体" w:hAnsi="宋体" w:eastAsia="宋体" w:cs="宋体"/>
          <w:strike/>
          <w:sz w:val="24"/>
          <w:szCs w:val="24"/>
        </w:rPr>
        <w:tab/>
      </w:r>
      <w:r>
        <w:rPr>
          <w:rFonts w:ascii="宋体" w:hAnsi="宋体" w:eastAsia="宋体" w:cs="宋体"/>
          <w:strike/>
          <w:spacing w:val="-108"/>
          <w:sz w:val="24"/>
          <w:szCs w:val="24"/>
        </w:rPr>
        <w:t xml:space="preserve"> </w:t>
      </w:r>
      <w:r>
        <w:rPr>
          <w:rFonts w:ascii="宋体" w:hAnsi="宋体" w:eastAsia="宋体" w:cs="宋体"/>
          <w:strike/>
          <w:spacing w:val="-1"/>
          <w:sz w:val="24"/>
          <w:szCs w:val="24"/>
        </w:rPr>
        <w:t>检验方法：用针测法检查。</w:t>
      </w:r>
    </w:p>
    <w:p w14:paraId="6C1D3FBC">
      <w:pPr>
        <w:spacing w:before="154" w:line="220" w:lineRule="auto"/>
        <w:ind w:left="130"/>
        <w:rPr>
          <w:rFonts w:ascii="宋体" w:hAnsi="宋体" w:eastAsia="宋体" w:cs="宋体"/>
          <w:sz w:val="24"/>
          <w:szCs w:val="24"/>
        </w:rPr>
      </w:pPr>
      <w:r>
        <w:rPr>
          <w:rFonts w:ascii="Times New Roman" w:hAnsi="Times New Roman" w:eastAsia="Times New Roman" w:cs="Times New Roman"/>
          <w:strike/>
          <w:sz w:val="24"/>
          <w:szCs w:val="24"/>
        </w:rPr>
        <w:t xml:space="preserve">5.2.3    </w:t>
      </w:r>
      <w:r>
        <w:rPr>
          <w:rFonts w:ascii="宋体" w:hAnsi="宋体" w:eastAsia="宋体" w:cs="宋体"/>
          <w:strike/>
          <w:sz w:val="24"/>
          <w:szCs w:val="24"/>
        </w:rPr>
        <w:t>中埋式止水带埋设位置应准确，其中间空心圆环</w:t>
      </w:r>
      <w:r>
        <w:rPr>
          <w:rFonts w:ascii="宋体" w:hAnsi="宋体" w:eastAsia="宋体" w:cs="宋体"/>
          <w:strike/>
          <w:spacing w:val="-1"/>
          <w:sz w:val="24"/>
          <w:szCs w:val="24"/>
        </w:rPr>
        <w:t>与变形缝的中心线应重合。</w:t>
      </w:r>
    </w:p>
    <w:p w14:paraId="318515FF">
      <w:pPr>
        <w:spacing w:line="220" w:lineRule="auto"/>
        <w:rPr>
          <w:rFonts w:ascii="宋体" w:hAnsi="宋体" w:eastAsia="宋体" w:cs="宋体"/>
          <w:sz w:val="24"/>
          <w:szCs w:val="24"/>
        </w:rPr>
        <w:sectPr>
          <w:footerReference r:id="rId8" w:type="default"/>
          <w:pgSz w:w="11907" w:h="16839"/>
          <w:pgMar w:top="400" w:right="1298" w:bottom="743" w:left="1298" w:header="0" w:footer="582" w:gutter="0"/>
          <w:cols w:space="720" w:num="1"/>
        </w:sectPr>
      </w:pPr>
    </w:p>
    <w:p w14:paraId="63C811BD">
      <w:pPr>
        <w:pStyle w:val="2"/>
        <w:spacing w:line="303" w:lineRule="auto"/>
      </w:pPr>
    </w:p>
    <w:p w14:paraId="17D24026">
      <w:pPr>
        <w:pStyle w:val="2"/>
        <w:spacing w:line="303" w:lineRule="auto"/>
      </w:pPr>
    </w:p>
    <w:p w14:paraId="4AE270A8">
      <w:pPr>
        <w:pStyle w:val="2"/>
        <w:spacing w:line="303" w:lineRule="auto"/>
      </w:pPr>
    </w:p>
    <w:p w14:paraId="5C44DCFC">
      <w:pPr>
        <w:tabs>
          <w:tab w:val="left" w:pos="240"/>
        </w:tabs>
        <w:spacing w:before="78"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00"/>
          <w:sz w:val="24"/>
          <w:szCs w:val="24"/>
        </w:rPr>
        <w:t xml:space="preserve"> </w:t>
      </w:r>
      <w:r>
        <w:rPr>
          <w:rFonts w:ascii="宋体" w:hAnsi="宋体" w:eastAsia="宋体" w:cs="宋体"/>
          <w:strike/>
          <w:spacing w:val="-1"/>
          <w:sz w:val="24"/>
          <w:szCs w:val="24"/>
        </w:rPr>
        <w:t>检验方法：观察检查和检查隐蔽工程验收记录。</w:t>
      </w:r>
    </w:p>
    <w:p w14:paraId="5EFD339A">
      <w:pPr>
        <w:spacing w:before="155" w:line="338" w:lineRule="auto"/>
        <w:ind w:left="10" w:right="120" w:firstLine="1"/>
        <w:rPr>
          <w:rFonts w:ascii="宋体" w:hAnsi="宋体" w:eastAsia="宋体" w:cs="宋体"/>
          <w:sz w:val="24"/>
          <w:szCs w:val="24"/>
        </w:rPr>
      </w:pPr>
      <w:r>
        <w:rPr>
          <w:rFonts w:ascii="Times New Roman" w:hAnsi="Times New Roman" w:eastAsia="Times New Roman" w:cs="Times New Roman"/>
          <w:strike/>
          <w:sz w:val="24"/>
          <w:szCs w:val="24"/>
        </w:rPr>
        <w:t xml:space="preserve">5.3.4    </w:t>
      </w:r>
      <w:r>
        <w:rPr>
          <w:rFonts w:ascii="宋体" w:hAnsi="宋体" w:eastAsia="宋体" w:cs="宋体"/>
          <w:strike/>
          <w:sz w:val="24"/>
          <w:szCs w:val="24"/>
        </w:rPr>
        <w:t>采用掺膨胀剂的补偿收缩混凝土，其抗压强度、</w:t>
      </w:r>
      <w:r>
        <w:rPr>
          <w:rFonts w:ascii="宋体" w:hAnsi="宋体" w:eastAsia="宋体" w:cs="宋体"/>
          <w:strike/>
          <w:spacing w:val="-1"/>
          <w:sz w:val="24"/>
          <w:szCs w:val="24"/>
        </w:rPr>
        <w:t>抗渗性能和限制膨胀率必须符</w:t>
      </w:r>
      <w:r>
        <w:rPr>
          <w:rFonts w:ascii="宋体" w:hAnsi="宋体" w:eastAsia="宋体" w:cs="宋体"/>
          <w:sz w:val="24"/>
          <w:szCs w:val="24"/>
        </w:rPr>
        <w:t xml:space="preserve"> </w:t>
      </w:r>
      <w:r>
        <w:rPr>
          <w:rFonts w:ascii="宋体" w:hAnsi="宋体" w:eastAsia="宋体" w:cs="宋体"/>
          <w:strike/>
          <w:spacing w:val="-2"/>
          <w:sz w:val="24"/>
          <w:szCs w:val="24"/>
        </w:rPr>
        <w:t>合设计要求。</w:t>
      </w:r>
    </w:p>
    <w:p w14:paraId="5EE2CC8B">
      <w:pPr>
        <w:tabs>
          <w:tab w:val="left" w:pos="240"/>
        </w:tabs>
        <w:spacing w:line="338" w:lineRule="auto"/>
        <w:ind w:left="15" w:right="120" w:hanging="15"/>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z w:val="24"/>
          <w:szCs w:val="24"/>
        </w:rPr>
        <w:tab/>
      </w:r>
      <w:r>
        <w:rPr>
          <w:rFonts w:ascii="宋体" w:hAnsi="宋体" w:eastAsia="宋体" w:cs="宋体"/>
          <w:strike/>
          <w:spacing w:val="-111"/>
          <w:sz w:val="24"/>
          <w:szCs w:val="24"/>
        </w:rPr>
        <w:t xml:space="preserve"> </w:t>
      </w:r>
      <w:r>
        <w:rPr>
          <w:rFonts w:ascii="宋体" w:hAnsi="宋体" w:eastAsia="宋体" w:cs="宋体"/>
          <w:strike/>
          <w:spacing w:val="-1"/>
          <w:sz w:val="24"/>
          <w:szCs w:val="24"/>
        </w:rPr>
        <w:t>检验方法：检查混凝土抗压强度、抗渗性能和水中养护</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 xml:space="preserve">14d </w:t>
      </w:r>
      <w:r>
        <w:rPr>
          <w:rFonts w:ascii="宋体" w:hAnsi="宋体" w:eastAsia="宋体" w:cs="宋体"/>
          <w:strike/>
          <w:spacing w:val="-1"/>
          <w:sz w:val="24"/>
          <w:szCs w:val="24"/>
        </w:rPr>
        <w:t>后的限制膨胀率检测报</w:t>
      </w:r>
      <w:r>
        <w:rPr>
          <w:rFonts w:ascii="宋体" w:hAnsi="宋体" w:eastAsia="宋体" w:cs="宋体"/>
          <w:sz w:val="24"/>
          <w:szCs w:val="24"/>
        </w:rPr>
        <w:t xml:space="preserve"> </w:t>
      </w:r>
      <w:r>
        <w:rPr>
          <w:rFonts w:ascii="宋体" w:hAnsi="宋体" w:eastAsia="宋体" w:cs="宋体"/>
          <w:strike/>
          <w:spacing w:val="-4"/>
          <w:sz w:val="24"/>
          <w:szCs w:val="24"/>
        </w:rPr>
        <w:t>告。</w:t>
      </w:r>
    </w:p>
    <w:p w14:paraId="28E78223">
      <w:pPr>
        <w:spacing w:line="219" w:lineRule="auto"/>
        <w:ind w:left="8"/>
        <w:rPr>
          <w:rFonts w:ascii="宋体" w:hAnsi="宋体" w:eastAsia="宋体" w:cs="宋体"/>
          <w:sz w:val="24"/>
          <w:szCs w:val="24"/>
        </w:rPr>
      </w:pPr>
      <w:r>
        <w:rPr>
          <w:rFonts w:ascii="Times New Roman" w:hAnsi="Times New Roman" w:eastAsia="Times New Roman" w:cs="Times New Roman"/>
          <w:strike/>
          <w:spacing w:val="-1"/>
          <w:sz w:val="24"/>
          <w:szCs w:val="24"/>
        </w:rPr>
        <w:t xml:space="preserve">7.2.12    </w:t>
      </w:r>
      <w:r>
        <w:rPr>
          <w:rFonts w:ascii="宋体" w:hAnsi="宋体" w:eastAsia="宋体" w:cs="宋体"/>
          <w:strike/>
          <w:spacing w:val="-1"/>
          <w:sz w:val="24"/>
          <w:szCs w:val="24"/>
        </w:rPr>
        <w:t>隧道、坑道排水系统必须畅通。</w:t>
      </w:r>
    </w:p>
    <w:p w14:paraId="083A8452">
      <w:pPr>
        <w:tabs>
          <w:tab w:val="left" w:pos="240"/>
        </w:tabs>
        <w:spacing w:before="154"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11"/>
          <w:sz w:val="24"/>
          <w:szCs w:val="24"/>
        </w:rPr>
        <w:t xml:space="preserve"> </w:t>
      </w:r>
      <w:r>
        <w:rPr>
          <w:rFonts w:ascii="宋体" w:hAnsi="宋体" w:eastAsia="宋体" w:cs="宋体"/>
          <w:strike/>
          <w:spacing w:val="-1"/>
          <w:sz w:val="24"/>
          <w:szCs w:val="24"/>
        </w:rPr>
        <w:t>检验方法：观察检查。</w:t>
      </w:r>
    </w:p>
    <w:p w14:paraId="3A97050A">
      <w:pPr>
        <w:spacing w:before="202" w:line="226" w:lineRule="auto"/>
        <w:ind w:left="8"/>
        <w:outlineLvl w:val="2"/>
        <w:rPr>
          <w:rFonts w:ascii="宋体" w:hAnsi="宋体" w:eastAsia="宋体" w:cs="宋体"/>
          <w:sz w:val="27"/>
          <w:szCs w:val="27"/>
        </w:rPr>
      </w:pPr>
      <w:bookmarkStart w:id="4" w:name="bookmark53"/>
      <w:bookmarkEnd w:id="4"/>
      <w:r>
        <w:rPr>
          <w:rFonts w:ascii="Times New Roman" w:hAnsi="Times New Roman" w:eastAsia="Times New Roman" w:cs="Times New Roman"/>
          <w:b/>
          <w:bCs/>
          <w:spacing w:val="3"/>
          <w:sz w:val="27"/>
          <w:szCs w:val="27"/>
        </w:rPr>
        <w:t>9.</w:t>
      </w:r>
      <w:r>
        <w:rPr>
          <w:rFonts w:ascii="Times New Roman" w:hAnsi="Times New Roman" w:eastAsia="Times New Roman" w:cs="Times New Roman"/>
          <w:b/>
          <w:bCs/>
          <w:spacing w:val="-18"/>
          <w:sz w:val="27"/>
          <w:szCs w:val="27"/>
        </w:rPr>
        <w:t xml:space="preserve"> </w:t>
      </w:r>
      <w:r>
        <w:rPr>
          <w:rFonts w:ascii="宋体" w:hAnsi="宋体" w:eastAsia="宋体" w:cs="宋体"/>
          <w:b/>
          <w:bCs/>
          <w:spacing w:val="3"/>
          <w:sz w:val="27"/>
          <w:szCs w:val="27"/>
        </w:rPr>
        <w:t>《建筑边坡工程技术规范》</w:t>
      </w:r>
      <w:r>
        <w:rPr>
          <w:rFonts w:ascii="宋体" w:hAnsi="宋体" w:eastAsia="宋体" w:cs="宋体"/>
          <w:spacing w:val="-76"/>
          <w:sz w:val="27"/>
          <w:szCs w:val="27"/>
        </w:rPr>
        <w:t xml:space="preserve"> </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3"/>
          <w:sz w:val="27"/>
          <w:szCs w:val="27"/>
        </w:rPr>
        <w:t>50330-2013</w:t>
      </w:r>
      <w:r>
        <w:rPr>
          <w:rFonts w:ascii="宋体" w:hAnsi="宋体" w:eastAsia="宋体" w:cs="宋体"/>
          <w:b/>
          <w:bCs/>
          <w:spacing w:val="3"/>
          <w:sz w:val="27"/>
          <w:szCs w:val="27"/>
        </w:rPr>
        <w:t>【强条已废】</w:t>
      </w:r>
    </w:p>
    <w:p w14:paraId="46C1FE18">
      <w:pPr>
        <w:spacing w:before="286" w:line="220" w:lineRule="auto"/>
        <w:ind w:left="36"/>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68E40A07">
      <w:pPr>
        <w:spacing w:before="309" w:line="220" w:lineRule="auto"/>
        <w:ind w:left="9"/>
        <w:rPr>
          <w:rFonts w:ascii="宋体" w:hAnsi="宋体" w:eastAsia="宋体" w:cs="宋体"/>
          <w:sz w:val="24"/>
          <w:szCs w:val="24"/>
        </w:rPr>
      </w:pPr>
      <w:r>
        <w:rPr>
          <w:rFonts w:ascii="Times New Roman" w:hAnsi="Times New Roman" w:eastAsia="Times New Roman" w:cs="Times New Roman"/>
          <w:strike/>
          <w:sz w:val="24"/>
          <w:szCs w:val="24"/>
        </w:rPr>
        <w:t xml:space="preserve">3.1.3    </w:t>
      </w:r>
      <w:r>
        <w:rPr>
          <w:rFonts w:ascii="宋体" w:hAnsi="宋体" w:eastAsia="宋体" w:cs="宋体"/>
          <w:strike/>
          <w:sz w:val="24"/>
          <w:szCs w:val="24"/>
        </w:rPr>
        <w:t>建筑边坡工程的设计年限不应低于被保护的建（</w:t>
      </w:r>
      <w:r>
        <w:rPr>
          <w:rFonts w:ascii="宋体" w:hAnsi="宋体" w:eastAsia="宋体" w:cs="宋体"/>
          <w:strike/>
          <w:spacing w:val="-1"/>
          <w:sz w:val="24"/>
          <w:szCs w:val="24"/>
        </w:rPr>
        <w:t>构）筑物设计使用年限。</w:t>
      </w:r>
    </w:p>
    <w:p w14:paraId="1F6D2F41">
      <w:pPr>
        <w:spacing w:before="154" w:line="220"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3.3.6    </w:t>
      </w:r>
      <w:r>
        <w:rPr>
          <w:rFonts w:ascii="宋体" w:hAnsi="宋体" w:eastAsia="宋体" w:cs="宋体"/>
          <w:strike/>
          <w:spacing w:val="-1"/>
          <w:sz w:val="24"/>
          <w:szCs w:val="24"/>
        </w:rPr>
        <w:t>边坡支护结构设计时应进行下列计算和验算：</w:t>
      </w:r>
    </w:p>
    <w:p w14:paraId="13D8A2A6">
      <w:pPr>
        <w:spacing w:before="155" w:line="279" w:lineRule="auto"/>
        <w:ind w:left="8" w:right="120" w:firstLine="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支护结构及其基础的抗压、抗弯、抗剪、局部抗压承载力的计算；支护结构基</w:t>
      </w:r>
      <w:r>
        <w:rPr>
          <w:rFonts w:ascii="宋体" w:hAnsi="宋体" w:eastAsia="宋体" w:cs="宋体"/>
          <w:spacing w:val="7"/>
          <w:sz w:val="24"/>
          <w:szCs w:val="24"/>
        </w:rPr>
        <w:t xml:space="preserve"> </w:t>
      </w:r>
      <w:r>
        <w:rPr>
          <w:rFonts w:ascii="宋体" w:hAnsi="宋体" w:eastAsia="宋体" w:cs="宋体"/>
          <w:strike/>
          <w:spacing w:val="-1"/>
          <w:sz w:val="24"/>
          <w:szCs w:val="24"/>
        </w:rPr>
        <w:t>础地基承载力计算；</w:t>
      </w:r>
    </w:p>
    <w:p w14:paraId="20C3602B">
      <w:pPr>
        <w:spacing w:before="154" w:line="220" w:lineRule="auto"/>
        <w:ind w:left="48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锚杆锚固体的抗拔承载力及锚杆杆体抗拉</w:t>
      </w:r>
      <w:r>
        <w:rPr>
          <w:rFonts w:ascii="宋体" w:hAnsi="宋体" w:eastAsia="宋体" w:cs="宋体"/>
          <w:strike/>
          <w:spacing w:val="-1"/>
          <w:sz w:val="24"/>
          <w:szCs w:val="24"/>
        </w:rPr>
        <w:t>承载力计算；</w:t>
      </w:r>
    </w:p>
    <w:p w14:paraId="5BC6CCE6">
      <w:pPr>
        <w:spacing w:before="154" w:line="220" w:lineRule="auto"/>
        <w:ind w:left="48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支护结构稳定性验算。</w:t>
      </w:r>
    </w:p>
    <w:p w14:paraId="15B6420D">
      <w:pPr>
        <w:spacing w:before="154" w:line="218" w:lineRule="auto"/>
        <w:jc w:val="right"/>
        <w:rPr>
          <w:rFonts w:ascii="宋体" w:hAnsi="宋体" w:eastAsia="宋体" w:cs="宋体"/>
          <w:sz w:val="24"/>
          <w:szCs w:val="24"/>
        </w:rPr>
      </w:pPr>
      <w:r>
        <w:rPr>
          <w:rFonts w:ascii="Times New Roman" w:hAnsi="Times New Roman" w:eastAsia="Times New Roman" w:cs="Times New Roman"/>
          <w:strike/>
          <w:spacing w:val="-1"/>
          <w:sz w:val="24"/>
          <w:szCs w:val="24"/>
        </w:rPr>
        <w:t xml:space="preserve">18.4.1    </w:t>
      </w:r>
      <w:r>
        <w:rPr>
          <w:rFonts w:ascii="宋体" w:hAnsi="宋体" w:eastAsia="宋体" w:cs="宋体"/>
          <w:strike/>
          <w:spacing w:val="-1"/>
          <w:sz w:val="24"/>
          <w:szCs w:val="24"/>
        </w:rPr>
        <w:t>岩石边坡开挖爆破施工应采取避免边坡及邻近建（构）筑物震害的工程措施。</w:t>
      </w:r>
    </w:p>
    <w:p w14:paraId="22E63160">
      <w:pPr>
        <w:spacing w:before="158" w:line="279" w:lineRule="auto"/>
        <w:ind w:left="10" w:firstLine="17"/>
        <w:rPr>
          <w:rFonts w:ascii="宋体" w:hAnsi="宋体" w:eastAsia="宋体" w:cs="宋体"/>
          <w:sz w:val="24"/>
          <w:szCs w:val="24"/>
        </w:rPr>
      </w:pPr>
      <w:r>
        <w:rPr>
          <w:rFonts w:ascii="Times New Roman" w:hAnsi="Times New Roman" w:eastAsia="Times New Roman" w:cs="Times New Roman"/>
          <w:strike/>
          <w:spacing w:val="-1"/>
          <w:sz w:val="24"/>
          <w:szCs w:val="24"/>
        </w:rPr>
        <w:t xml:space="preserve">19.1.1    </w:t>
      </w:r>
      <w:r>
        <w:rPr>
          <w:rFonts w:ascii="宋体" w:hAnsi="宋体" w:eastAsia="宋体" w:cs="宋体"/>
          <w:strike/>
          <w:spacing w:val="-1"/>
          <w:sz w:val="24"/>
          <w:szCs w:val="24"/>
        </w:rPr>
        <w:t>边坡塌滑区有重要建（构）筑物的</w:t>
      </w:r>
      <w:r>
        <w:rPr>
          <w:rFonts w:ascii="宋体" w:hAnsi="宋体" w:eastAsia="宋体" w:cs="宋体"/>
          <w:spacing w:val="-1"/>
          <w:sz w:val="24"/>
          <w:szCs w:val="24"/>
        </w:rPr>
        <w:t>一</w:t>
      </w:r>
      <w:r>
        <w:rPr>
          <w:rFonts w:ascii="宋体" w:hAnsi="宋体" w:eastAsia="宋体" w:cs="宋体"/>
          <w:strike/>
          <w:spacing w:val="-1"/>
          <w:sz w:val="24"/>
          <w:szCs w:val="24"/>
        </w:rPr>
        <w:t>级边坡工程施工时必须对坡顶水平位移、</w:t>
      </w:r>
      <w:r>
        <w:rPr>
          <w:rFonts w:ascii="宋体" w:hAnsi="宋体" w:eastAsia="宋体" w:cs="宋体"/>
          <w:spacing w:val="14"/>
          <w:sz w:val="24"/>
          <w:szCs w:val="24"/>
        </w:rPr>
        <w:t xml:space="preserve"> </w:t>
      </w:r>
      <w:r>
        <w:rPr>
          <w:rFonts w:ascii="宋体" w:hAnsi="宋体" w:eastAsia="宋体" w:cs="宋体"/>
          <w:strike/>
          <w:spacing w:val="-1"/>
          <w:sz w:val="24"/>
          <w:szCs w:val="24"/>
        </w:rPr>
        <w:t>垂直位移、地表裂缝和坡顶建（构）筑物变形进行监测。</w:t>
      </w:r>
    </w:p>
    <w:p w14:paraId="46A31C42">
      <w:pPr>
        <w:spacing w:before="201" w:line="226" w:lineRule="auto"/>
        <w:ind w:left="18"/>
        <w:outlineLvl w:val="2"/>
        <w:rPr>
          <w:rFonts w:ascii="宋体" w:hAnsi="宋体" w:eastAsia="宋体" w:cs="宋体"/>
          <w:sz w:val="27"/>
          <w:szCs w:val="27"/>
        </w:rPr>
      </w:pPr>
      <w:bookmarkStart w:id="5" w:name="bookmark54"/>
      <w:bookmarkEnd w:id="5"/>
      <w:r>
        <w:rPr>
          <w:rFonts w:ascii="Times New Roman" w:hAnsi="Times New Roman" w:eastAsia="Times New Roman" w:cs="Times New Roman"/>
          <w:b/>
          <w:bCs/>
          <w:spacing w:val="6"/>
          <w:sz w:val="27"/>
          <w:szCs w:val="27"/>
        </w:rPr>
        <w:t>10.</w:t>
      </w:r>
      <w:r>
        <w:rPr>
          <w:rFonts w:ascii="宋体" w:hAnsi="宋体" w:eastAsia="宋体" w:cs="宋体"/>
          <w:b/>
          <w:bCs/>
          <w:spacing w:val="6"/>
          <w:sz w:val="27"/>
          <w:szCs w:val="27"/>
        </w:rPr>
        <w:t>《建筑基坑工程监测技术标准》</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50497-2019</w:t>
      </w:r>
      <w:r>
        <w:rPr>
          <w:rFonts w:ascii="宋体" w:hAnsi="宋体" w:eastAsia="宋体" w:cs="宋体"/>
          <w:b/>
          <w:bCs/>
          <w:spacing w:val="6"/>
          <w:sz w:val="27"/>
          <w:szCs w:val="27"/>
        </w:rPr>
        <w:t>【强条已废】</w:t>
      </w:r>
    </w:p>
    <w:p w14:paraId="54F7A52F">
      <w:pPr>
        <w:spacing w:before="286" w:line="220" w:lineRule="auto"/>
        <w:ind w:left="36"/>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351F7343">
      <w:pPr>
        <w:spacing w:before="312" w:line="220"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3.0.1    </w:t>
      </w:r>
      <w:r>
        <w:rPr>
          <w:rFonts w:ascii="宋体" w:hAnsi="宋体" w:eastAsia="宋体" w:cs="宋体"/>
          <w:strike/>
          <w:spacing w:val="-1"/>
          <w:sz w:val="24"/>
          <w:szCs w:val="24"/>
        </w:rPr>
        <w:t>下列基坑应实施基坑工程监测：</w:t>
      </w:r>
    </w:p>
    <w:p w14:paraId="47A37EB7">
      <w:pPr>
        <w:spacing w:before="308" w:line="220" w:lineRule="auto"/>
        <w:ind w:left="508"/>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基坑设计安全等级为</w:t>
      </w:r>
      <w:r>
        <w:rPr>
          <w:rFonts w:ascii="宋体" w:hAnsi="宋体" w:eastAsia="宋体" w:cs="宋体"/>
          <w:spacing w:val="-2"/>
          <w:sz w:val="24"/>
          <w:szCs w:val="24"/>
        </w:rPr>
        <w:t>一</w:t>
      </w:r>
      <w:r>
        <w:rPr>
          <w:rFonts w:ascii="宋体" w:hAnsi="宋体" w:eastAsia="宋体" w:cs="宋体"/>
          <w:strike/>
          <w:spacing w:val="-2"/>
          <w:sz w:val="24"/>
          <w:szCs w:val="24"/>
        </w:rPr>
        <w:t>、二级的基坑。</w:t>
      </w:r>
    </w:p>
    <w:p w14:paraId="43885550">
      <w:pPr>
        <w:spacing w:before="154" w:line="220" w:lineRule="auto"/>
        <w:ind w:left="485"/>
        <w:rPr>
          <w:rFonts w:ascii="宋体" w:hAnsi="宋体" w:eastAsia="宋体" w:cs="宋体"/>
          <w:sz w:val="24"/>
          <w:szCs w:val="24"/>
        </w:rPr>
      </w:pP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开挖深度大于或等于</w:t>
      </w:r>
      <w:r>
        <w:rPr>
          <w:rFonts w:ascii="宋体" w:hAnsi="宋体" w:eastAsia="宋体" w:cs="宋体"/>
          <w:strike/>
          <w:spacing w:val="-47"/>
          <w:sz w:val="24"/>
          <w:szCs w:val="24"/>
        </w:rPr>
        <w:t xml:space="preserve"> </w:t>
      </w:r>
      <w:r>
        <w:rPr>
          <w:rFonts w:ascii="Times New Roman" w:hAnsi="Times New Roman" w:eastAsia="Times New Roman" w:cs="Times New Roman"/>
          <w:strike/>
          <w:spacing w:val="-2"/>
          <w:sz w:val="24"/>
          <w:szCs w:val="24"/>
        </w:rPr>
        <w:t>5m</w:t>
      </w:r>
      <w:r>
        <w:rPr>
          <w:rFonts w:ascii="Times New Roman" w:hAnsi="Times New Roman" w:eastAsia="Times New Roman" w:cs="Times New Roman"/>
          <w:strike/>
          <w:spacing w:val="30"/>
          <w:sz w:val="24"/>
          <w:szCs w:val="24"/>
        </w:rPr>
        <w:t xml:space="preserve"> </w:t>
      </w:r>
      <w:r>
        <w:rPr>
          <w:rFonts w:ascii="宋体" w:hAnsi="宋体" w:eastAsia="宋体" w:cs="宋体"/>
          <w:strike/>
          <w:spacing w:val="-2"/>
          <w:sz w:val="24"/>
          <w:szCs w:val="24"/>
        </w:rPr>
        <w:t>的下列基坑：</w:t>
      </w:r>
    </w:p>
    <w:p w14:paraId="772619B2">
      <w:pPr>
        <w:spacing w:before="154" w:line="212" w:lineRule="auto"/>
        <w:ind w:left="508"/>
        <w:rPr>
          <w:rFonts w:ascii="宋体" w:hAnsi="宋体" w:eastAsia="宋体" w:cs="宋体"/>
          <w:sz w:val="24"/>
          <w:szCs w:val="24"/>
        </w:rPr>
      </w:pPr>
      <w:r>
        <w:rPr>
          <w:rFonts w:ascii="Times New Roman" w:hAnsi="Times New Roman" w:eastAsia="Times New Roman" w:cs="Times New Roman"/>
          <w:strike/>
          <w:spacing w:val="-4"/>
          <w:sz w:val="24"/>
          <w:szCs w:val="24"/>
        </w:rPr>
        <w:t>1)</w:t>
      </w:r>
      <w:r>
        <w:rPr>
          <w:rFonts w:ascii="宋体" w:hAnsi="宋体" w:eastAsia="宋体" w:cs="宋体"/>
          <w:strike/>
          <w:spacing w:val="-4"/>
          <w:sz w:val="24"/>
          <w:szCs w:val="24"/>
        </w:rPr>
        <w:t>土质基坑；</w:t>
      </w:r>
    </w:p>
    <w:p w14:paraId="0621035D">
      <w:pPr>
        <w:spacing w:before="165" w:line="212" w:lineRule="auto"/>
        <w:ind w:left="485"/>
        <w:rPr>
          <w:rFonts w:ascii="宋体" w:hAnsi="宋体" w:eastAsia="宋体" w:cs="宋体"/>
          <w:sz w:val="24"/>
          <w:szCs w:val="24"/>
        </w:rPr>
      </w:pPr>
      <w:r>
        <w:rPr>
          <w:rFonts w:ascii="Times New Roman" w:hAnsi="Times New Roman" w:eastAsia="Times New Roman" w:cs="Times New Roman"/>
          <w:strike/>
          <w:sz w:val="24"/>
          <w:szCs w:val="24"/>
        </w:rPr>
        <w:t>2)</w:t>
      </w:r>
      <w:r>
        <w:rPr>
          <w:rFonts w:ascii="宋体" w:hAnsi="宋体" w:eastAsia="宋体" w:cs="宋体"/>
          <w:strike/>
          <w:sz w:val="24"/>
          <w:szCs w:val="24"/>
        </w:rPr>
        <w:t>极软岩基坑、破碎的软岩基坑、极破碎</w:t>
      </w:r>
      <w:r>
        <w:rPr>
          <w:rFonts w:ascii="宋体" w:hAnsi="宋体" w:eastAsia="宋体" w:cs="宋体"/>
          <w:strike/>
          <w:spacing w:val="-1"/>
          <w:sz w:val="24"/>
          <w:szCs w:val="24"/>
        </w:rPr>
        <w:t>的岩体基坑；</w:t>
      </w:r>
    </w:p>
    <w:p w14:paraId="200DA368">
      <w:pPr>
        <w:spacing w:before="165" w:line="279" w:lineRule="auto"/>
        <w:ind w:left="9" w:right="399" w:firstLine="480"/>
        <w:rPr>
          <w:rFonts w:ascii="宋体" w:hAnsi="宋体" w:eastAsia="宋体" w:cs="宋体"/>
          <w:sz w:val="24"/>
          <w:szCs w:val="24"/>
        </w:rPr>
      </w:pPr>
      <w:r>
        <w:rPr>
          <w:rFonts w:ascii="Times New Roman" w:hAnsi="Times New Roman" w:eastAsia="Times New Roman" w:cs="Times New Roman"/>
          <w:strike/>
          <w:sz w:val="24"/>
          <w:szCs w:val="24"/>
        </w:rPr>
        <w:t>3)</w:t>
      </w:r>
      <w:r>
        <w:rPr>
          <w:rFonts w:ascii="宋体" w:hAnsi="宋体" w:eastAsia="宋体" w:cs="宋体"/>
          <w:strike/>
          <w:sz w:val="24"/>
          <w:szCs w:val="24"/>
        </w:rPr>
        <w:t>上部为土体，下部为极软岩、破碎的软岩、极破碎</w:t>
      </w:r>
      <w:r>
        <w:rPr>
          <w:rFonts w:ascii="宋体" w:hAnsi="宋体" w:eastAsia="宋体" w:cs="宋体"/>
          <w:strike/>
          <w:spacing w:val="-1"/>
          <w:sz w:val="24"/>
          <w:szCs w:val="24"/>
        </w:rPr>
        <w:t>的岩体构成的土岩组合基</w:t>
      </w:r>
      <w:r>
        <w:rPr>
          <w:rFonts w:ascii="宋体" w:hAnsi="宋体" w:eastAsia="宋体" w:cs="宋体"/>
          <w:sz w:val="24"/>
          <w:szCs w:val="24"/>
        </w:rPr>
        <w:t xml:space="preserve"> </w:t>
      </w:r>
      <w:r>
        <w:rPr>
          <w:rFonts w:ascii="宋体" w:hAnsi="宋体" w:eastAsia="宋体" w:cs="宋体"/>
          <w:strike/>
          <w:spacing w:val="-3"/>
          <w:sz w:val="24"/>
          <w:szCs w:val="24"/>
        </w:rPr>
        <w:t>坑。</w:t>
      </w:r>
    </w:p>
    <w:p w14:paraId="6EBA1F1F">
      <w:pPr>
        <w:spacing w:before="153" w:line="220" w:lineRule="auto"/>
        <w:ind w:left="48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开挖深度小于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1"/>
          <w:sz w:val="24"/>
          <w:szCs w:val="24"/>
        </w:rPr>
        <w:t xml:space="preserve">5m </w:t>
      </w:r>
      <w:r>
        <w:rPr>
          <w:rFonts w:ascii="宋体" w:hAnsi="宋体" w:eastAsia="宋体" w:cs="宋体"/>
          <w:strike/>
          <w:spacing w:val="-1"/>
          <w:sz w:val="24"/>
          <w:szCs w:val="24"/>
        </w:rPr>
        <w:t>但现场地质情况和周围环境较复杂的基坑。</w:t>
      </w:r>
    </w:p>
    <w:p w14:paraId="28A9E81C">
      <w:pPr>
        <w:spacing w:before="156" w:line="340" w:lineRule="auto"/>
        <w:ind w:left="10" w:right="120" w:firstLine="4"/>
        <w:rPr>
          <w:rFonts w:ascii="宋体" w:hAnsi="宋体" w:eastAsia="宋体" w:cs="宋体"/>
          <w:sz w:val="24"/>
          <w:szCs w:val="24"/>
        </w:rPr>
      </w:pPr>
      <w:r>
        <w:rPr>
          <w:rFonts w:ascii="Times New Roman" w:hAnsi="Times New Roman" w:eastAsia="Times New Roman" w:cs="Times New Roman"/>
          <w:strike/>
          <w:sz w:val="24"/>
          <w:szCs w:val="24"/>
        </w:rPr>
        <w:t xml:space="preserve">8.0.9    </w:t>
      </w:r>
      <w:r>
        <w:rPr>
          <w:rFonts w:ascii="宋体" w:hAnsi="宋体" w:eastAsia="宋体" w:cs="宋体"/>
          <w:strike/>
          <w:sz w:val="24"/>
          <w:szCs w:val="24"/>
        </w:rPr>
        <w:t>当出现下列情况之</w:t>
      </w:r>
      <w:r>
        <w:rPr>
          <w:rFonts w:ascii="宋体" w:hAnsi="宋体" w:eastAsia="宋体" w:cs="宋体"/>
          <w:sz w:val="24"/>
          <w:szCs w:val="24"/>
        </w:rPr>
        <w:t>一</w:t>
      </w:r>
      <w:r>
        <w:rPr>
          <w:rFonts w:ascii="宋体" w:hAnsi="宋体" w:eastAsia="宋体" w:cs="宋体"/>
          <w:strike/>
          <w:sz w:val="24"/>
          <w:szCs w:val="24"/>
        </w:rPr>
        <w:t>时，必须立即进行危</w:t>
      </w:r>
      <w:r>
        <w:rPr>
          <w:rFonts w:ascii="宋体" w:hAnsi="宋体" w:eastAsia="宋体" w:cs="宋体"/>
          <w:strike/>
          <w:spacing w:val="-1"/>
          <w:sz w:val="24"/>
          <w:szCs w:val="24"/>
        </w:rPr>
        <w:t>险报警，并应通知有关各方对基坑支</w:t>
      </w:r>
      <w:r>
        <w:rPr>
          <w:rFonts w:ascii="宋体" w:hAnsi="宋体" w:eastAsia="宋体" w:cs="宋体"/>
          <w:sz w:val="24"/>
          <w:szCs w:val="24"/>
        </w:rPr>
        <w:t xml:space="preserve"> </w:t>
      </w:r>
      <w:r>
        <w:rPr>
          <w:rFonts w:ascii="宋体" w:hAnsi="宋体" w:eastAsia="宋体" w:cs="宋体"/>
          <w:strike/>
          <w:spacing w:val="-1"/>
          <w:sz w:val="24"/>
          <w:szCs w:val="24"/>
        </w:rPr>
        <w:t>护结构和周边环境保护对象采取应急措施。</w:t>
      </w:r>
    </w:p>
    <w:p w14:paraId="76CB0E87">
      <w:pPr>
        <w:spacing w:line="340" w:lineRule="auto"/>
        <w:rPr>
          <w:rFonts w:ascii="宋体" w:hAnsi="宋体" w:eastAsia="宋体" w:cs="宋体"/>
          <w:sz w:val="24"/>
          <w:szCs w:val="24"/>
        </w:rPr>
        <w:sectPr>
          <w:footerReference r:id="rId9" w:type="default"/>
          <w:pgSz w:w="11907" w:h="16839"/>
          <w:pgMar w:top="400" w:right="1489" w:bottom="743" w:left="1417" w:header="0" w:footer="582" w:gutter="0"/>
          <w:cols w:space="720" w:num="1"/>
        </w:sectPr>
      </w:pPr>
    </w:p>
    <w:p w14:paraId="3544CC5B">
      <w:pPr>
        <w:pStyle w:val="2"/>
        <w:spacing w:line="303" w:lineRule="auto"/>
      </w:pPr>
    </w:p>
    <w:p w14:paraId="56F0AB90">
      <w:pPr>
        <w:pStyle w:val="2"/>
        <w:spacing w:line="303" w:lineRule="auto"/>
      </w:pPr>
    </w:p>
    <w:p w14:paraId="40E385AC">
      <w:pPr>
        <w:pStyle w:val="2"/>
        <w:spacing w:line="303" w:lineRule="auto"/>
      </w:pPr>
    </w:p>
    <w:p w14:paraId="168F9A67">
      <w:pPr>
        <w:spacing w:before="78" w:line="220" w:lineRule="auto"/>
        <w:jc w:val="right"/>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基坑支护结构的位移值突然明显增大或基坑出现流砂、管涌、隆起、陷落等；</w:t>
      </w:r>
    </w:p>
    <w:p w14:paraId="4FD7B12F">
      <w:pPr>
        <w:spacing w:before="154" w:line="279" w:lineRule="auto"/>
        <w:ind w:left="9" w:firstLine="467"/>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基坑支护结构的支撑或锚杆体系出现过大变形、压屈、断裂、</w:t>
      </w:r>
      <w:r>
        <w:rPr>
          <w:rFonts w:ascii="宋体" w:hAnsi="宋体" w:eastAsia="宋体" w:cs="宋体"/>
          <w:strike/>
          <w:spacing w:val="-1"/>
          <w:sz w:val="24"/>
          <w:szCs w:val="24"/>
        </w:rPr>
        <w:t>松弛或拔出的迹</w:t>
      </w:r>
      <w:r>
        <w:rPr>
          <w:rFonts w:ascii="宋体" w:hAnsi="宋体" w:eastAsia="宋体" w:cs="宋体"/>
          <w:sz w:val="24"/>
          <w:szCs w:val="24"/>
        </w:rPr>
        <w:t xml:space="preserve"> </w:t>
      </w:r>
      <w:r>
        <w:rPr>
          <w:rFonts w:ascii="宋体" w:hAnsi="宋体" w:eastAsia="宋体" w:cs="宋体"/>
          <w:strike/>
          <w:spacing w:val="-5"/>
          <w:sz w:val="24"/>
          <w:szCs w:val="24"/>
        </w:rPr>
        <w:t>象；</w:t>
      </w:r>
    </w:p>
    <w:p w14:paraId="01141036">
      <w:pPr>
        <w:spacing w:before="154"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基坑周边建筑的结构部分出现危害结构的变形裂缝；</w:t>
      </w:r>
    </w:p>
    <w:p w14:paraId="7CDD8A0B">
      <w:pPr>
        <w:spacing w:before="155" w:line="220" w:lineRule="auto"/>
        <w:ind w:left="475"/>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基坑周边地面出现较严重的突发裂缝或地下空洞、</w:t>
      </w:r>
      <w:r>
        <w:rPr>
          <w:rFonts w:ascii="宋体" w:hAnsi="宋体" w:eastAsia="宋体" w:cs="宋体"/>
          <w:strike/>
          <w:spacing w:val="-1"/>
          <w:sz w:val="24"/>
          <w:szCs w:val="24"/>
        </w:rPr>
        <w:t>地面下陷；</w:t>
      </w:r>
    </w:p>
    <w:p w14:paraId="0EE00EDC">
      <w:pPr>
        <w:spacing w:before="152" w:line="220" w:lineRule="auto"/>
        <w:ind w:left="483"/>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基坑周边管线变形突然明显增长或出现裂缝、泄漏等；</w:t>
      </w:r>
    </w:p>
    <w:p w14:paraId="34DB0E15">
      <w:pPr>
        <w:spacing w:before="155" w:line="280" w:lineRule="auto"/>
        <w:ind w:left="3" w:right="239" w:firstLine="478"/>
        <w:rPr>
          <w:rFonts w:ascii="宋体" w:hAnsi="宋体" w:eastAsia="宋体" w:cs="宋体"/>
          <w:sz w:val="24"/>
          <w:szCs w:val="24"/>
        </w:rPr>
      </w:pPr>
      <w:r>
        <w:rPr>
          <w:rFonts w:ascii="Times New Roman" w:hAnsi="Times New Roman" w:eastAsia="Times New Roman" w:cs="Times New Roman"/>
          <w:strike/>
          <w:sz w:val="24"/>
          <w:szCs w:val="24"/>
        </w:rPr>
        <w:t xml:space="preserve">6    </w:t>
      </w:r>
      <w:r>
        <w:rPr>
          <w:rFonts w:ascii="宋体" w:hAnsi="宋体" w:eastAsia="宋体" w:cs="宋体"/>
          <w:strike/>
          <w:sz w:val="24"/>
          <w:szCs w:val="24"/>
        </w:rPr>
        <w:t>冻土基坑经受冻融循环时，基坑周边土体温度显</w:t>
      </w:r>
      <w:r>
        <w:rPr>
          <w:rFonts w:ascii="宋体" w:hAnsi="宋体" w:eastAsia="宋体" w:cs="宋体"/>
          <w:strike/>
          <w:spacing w:val="-1"/>
          <w:sz w:val="24"/>
          <w:szCs w:val="24"/>
        </w:rPr>
        <w:t>著上升，发生明显的冻融变</w:t>
      </w:r>
      <w:r>
        <w:rPr>
          <w:rFonts w:ascii="宋体" w:hAnsi="宋体" w:eastAsia="宋体" w:cs="宋体"/>
          <w:sz w:val="24"/>
          <w:szCs w:val="24"/>
        </w:rPr>
        <w:t xml:space="preserve"> </w:t>
      </w:r>
      <w:r>
        <w:rPr>
          <w:rFonts w:ascii="宋体" w:hAnsi="宋体" w:eastAsia="宋体" w:cs="宋体"/>
          <w:strike/>
          <w:spacing w:val="-4"/>
          <w:sz w:val="24"/>
          <w:szCs w:val="24"/>
        </w:rPr>
        <w:t>形；</w:t>
      </w:r>
    </w:p>
    <w:p w14:paraId="342CE168">
      <w:pPr>
        <w:spacing w:before="151" w:line="279" w:lineRule="auto"/>
        <w:ind w:left="2" w:firstLine="477"/>
        <w:rPr>
          <w:rFonts w:ascii="宋体" w:hAnsi="宋体" w:eastAsia="宋体" w:cs="宋体"/>
          <w:sz w:val="24"/>
          <w:szCs w:val="24"/>
        </w:rPr>
      </w:pPr>
      <w:r>
        <w:rPr>
          <w:rFonts w:ascii="Times New Roman" w:hAnsi="Times New Roman" w:eastAsia="Times New Roman" w:cs="Times New Roman"/>
          <w:strike/>
          <w:sz w:val="24"/>
          <w:szCs w:val="24"/>
        </w:rPr>
        <w:t xml:space="preserve">7    </w:t>
      </w:r>
      <w:r>
        <w:rPr>
          <w:rFonts w:ascii="宋体" w:hAnsi="宋体" w:eastAsia="宋体" w:cs="宋体"/>
          <w:strike/>
          <w:sz w:val="24"/>
          <w:szCs w:val="24"/>
        </w:rPr>
        <w:t>出现基坑工程设计方提出的其他危险报警情况，或根据</w:t>
      </w:r>
      <w:r>
        <w:rPr>
          <w:rFonts w:ascii="宋体" w:hAnsi="宋体" w:eastAsia="宋体" w:cs="宋体"/>
          <w:strike/>
          <w:spacing w:val="-1"/>
          <w:sz w:val="24"/>
          <w:szCs w:val="24"/>
        </w:rPr>
        <w:t>当地工程经验判断，出</w:t>
      </w:r>
      <w:r>
        <w:rPr>
          <w:rFonts w:ascii="宋体" w:hAnsi="宋体" w:eastAsia="宋体" w:cs="宋体"/>
          <w:sz w:val="24"/>
          <w:szCs w:val="24"/>
        </w:rPr>
        <w:t xml:space="preserve"> </w:t>
      </w:r>
      <w:r>
        <w:rPr>
          <w:rFonts w:ascii="宋体" w:hAnsi="宋体" w:eastAsia="宋体" w:cs="宋体"/>
          <w:strike/>
          <w:spacing w:val="-1"/>
          <w:sz w:val="24"/>
          <w:szCs w:val="24"/>
        </w:rPr>
        <w:t>现其他必须进行危险报警的情况。</w:t>
      </w:r>
    </w:p>
    <w:p w14:paraId="52DBE460">
      <w:pPr>
        <w:spacing w:before="201" w:line="226" w:lineRule="auto"/>
        <w:ind w:left="10"/>
        <w:outlineLvl w:val="2"/>
        <w:rPr>
          <w:rFonts w:ascii="宋体" w:hAnsi="宋体" w:eastAsia="宋体" w:cs="宋体"/>
          <w:sz w:val="27"/>
          <w:szCs w:val="27"/>
        </w:rPr>
      </w:pPr>
      <w:bookmarkStart w:id="6" w:name="bookmark55"/>
      <w:bookmarkEnd w:id="6"/>
      <w:r>
        <w:rPr>
          <w:rFonts w:ascii="Times New Roman" w:hAnsi="Times New Roman" w:eastAsia="Times New Roman" w:cs="Times New Roman"/>
          <w:b/>
          <w:bCs/>
          <w:spacing w:val="3"/>
          <w:sz w:val="27"/>
          <w:szCs w:val="27"/>
        </w:rPr>
        <w:t>11.</w:t>
      </w:r>
      <w:r>
        <w:rPr>
          <w:rFonts w:ascii="Times New Roman" w:hAnsi="Times New Roman" w:eastAsia="Times New Roman" w:cs="Times New Roman"/>
          <w:b/>
          <w:bCs/>
          <w:spacing w:val="-22"/>
          <w:sz w:val="27"/>
          <w:szCs w:val="27"/>
        </w:rPr>
        <w:t xml:space="preserve"> </w:t>
      </w:r>
      <w:r>
        <w:rPr>
          <w:rFonts w:ascii="宋体" w:hAnsi="宋体" w:eastAsia="宋体" w:cs="宋体"/>
          <w:b/>
          <w:bCs/>
          <w:spacing w:val="3"/>
          <w:sz w:val="27"/>
          <w:szCs w:val="27"/>
        </w:rPr>
        <w:t>《复合土钉墙基坑支护技术规范》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3"/>
          <w:sz w:val="27"/>
          <w:szCs w:val="27"/>
        </w:rPr>
        <w:t>50739-2011</w:t>
      </w:r>
      <w:r>
        <w:rPr>
          <w:rFonts w:ascii="Times New Roman" w:hAnsi="Times New Roman" w:eastAsia="Times New Roman" w:cs="Times New Roman"/>
          <w:b/>
          <w:bCs/>
          <w:spacing w:val="-11"/>
          <w:sz w:val="27"/>
          <w:szCs w:val="27"/>
        </w:rPr>
        <w:t xml:space="preserve"> </w:t>
      </w:r>
      <w:r>
        <w:rPr>
          <w:rFonts w:ascii="宋体" w:hAnsi="宋体" w:eastAsia="宋体" w:cs="宋体"/>
          <w:b/>
          <w:bCs/>
          <w:spacing w:val="3"/>
          <w:sz w:val="27"/>
          <w:szCs w:val="27"/>
        </w:rPr>
        <w:t>【强条已废】</w:t>
      </w:r>
    </w:p>
    <w:p w14:paraId="75706660">
      <w:pPr>
        <w:spacing w:before="286" w:line="220" w:lineRule="auto"/>
        <w:ind w:left="16"/>
        <w:rPr>
          <w:rFonts w:ascii="宋体" w:hAnsi="宋体" w:eastAsia="宋体" w:cs="宋体"/>
          <w:sz w:val="24"/>
          <w:szCs w:val="24"/>
        </w:rPr>
      </w:pPr>
      <w:r>
        <w:rPr>
          <w:rFonts w:ascii="宋体" w:hAnsi="宋体" w:eastAsia="宋体" w:cs="宋体"/>
          <w:b/>
          <w:bCs/>
          <w:color w:val="FF0000"/>
          <w:spacing w:val="-2"/>
          <w:sz w:val="24"/>
          <w:szCs w:val="24"/>
        </w:rPr>
        <w:t>当前条目已被《</w:t>
      </w:r>
      <w:r>
        <w:rPr>
          <w:rFonts w:ascii="宋体" w:hAnsi="宋体" w:eastAsia="宋体" w:cs="宋体"/>
          <w:b/>
          <w:bCs/>
          <w:spacing w:val="-2"/>
          <w:sz w:val="24"/>
          <w:szCs w:val="24"/>
          <w:u w:val="single" w:color="auto"/>
        </w:rPr>
        <w:t>建筑与市政地基基础通用规范</w:t>
      </w:r>
      <w:r>
        <w:rPr>
          <w:rFonts w:ascii="宋体" w:hAnsi="宋体" w:eastAsia="宋体" w:cs="宋体"/>
          <w:b/>
          <w:bCs/>
          <w:color w:val="FF0000"/>
          <w:spacing w:val="-2"/>
          <w:sz w:val="24"/>
          <w:szCs w:val="24"/>
        </w:rPr>
        <w:t>》</w:t>
      </w:r>
      <w:r>
        <w:rPr>
          <w:rFonts w:ascii="Times New Roman" w:hAnsi="Times New Roman" w:eastAsia="Times New Roman" w:cs="Times New Roman"/>
          <w:b/>
          <w:bCs/>
          <w:color w:val="FF0000"/>
          <w:spacing w:val="-2"/>
          <w:sz w:val="24"/>
          <w:szCs w:val="24"/>
        </w:rPr>
        <w:t>GB55003-2021</w:t>
      </w:r>
      <w:r>
        <w:rPr>
          <w:rFonts w:ascii="Times New Roman" w:hAnsi="Times New Roman" w:eastAsia="Times New Roman" w:cs="Times New Roman"/>
          <w:b/>
          <w:bCs/>
          <w:color w:val="FF0000"/>
          <w:spacing w:val="19"/>
          <w:w w:val="101"/>
          <w:sz w:val="24"/>
          <w:szCs w:val="24"/>
        </w:rPr>
        <w:t xml:space="preserve"> </w:t>
      </w:r>
      <w:r>
        <w:rPr>
          <w:rFonts w:ascii="宋体" w:hAnsi="宋体" w:eastAsia="宋体" w:cs="宋体"/>
          <w:b/>
          <w:bCs/>
          <w:color w:val="FF0000"/>
          <w:spacing w:val="-3"/>
          <w:sz w:val="24"/>
          <w:szCs w:val="24"/>
        </w:rPr>
        <w:t>替代</w:t>
      </w:r>
    </w:p>
    <w:p w14:paraId="6B4803EC">
      <w:pPr>
        <w:spacing w:before="155" w:line="340" w:lineRule="auto"/>
        <w:ind w:right="120"/>
        <w:jc w:val="both"/>
        <w:rPr>
          <w:rFonts w:ascii="宋体" w:hAnsi="宋体" w:eastAsia="宋体" w:cs="宋体"/>
          <w:sz w:val="24"/>
          <w:szCs w:val="24"/>
        </w:rPr>
      </w:pPr>
      <w:r>
        <w:rPr>
          <w:rFonts w:ascii="Times New Roman" w:hAnsi="Times New Roman" w:eastAsia="Times New Roman" w:cs="Times New Roman"/>
          <w:strike/>
          <w:sz w:val="24"/>
          <w:szCs w:val="24"/>
        </w:rPr>
        <w:t xml:space="preserve">6.1.3    </w:t>
      </w:r>
      <w:r>
        <w:rPr>
          <w:rFonts w:ascii="宋体" w:hAnsi="宋体" w:eastAsia="宋体" w:cs="宋体"/>
          <w:strike/>
          <w:sz w:val="24"/>
          <w:szCs w:val="24"/>
        </w:rPr>
        <w:t>土方开挖应与土钉、锚杆及降水施工密切结合，开</w:t>
      </w:r>
      <w:r>
        <w:rPr>
          <w:rFonts w:ascii="宋体" w:hAnsi="宋体" w:eastAsia="宋体" w:cs="宋体"/>
          <w:strike/>
          <w:spacing w:val="-1"/>
          <w:sz w:val="24"/>
          <w:szCs w:val="24"/>
        </w:rPr>
        <w:t>挖顺序、方法应与设计工况</w:t>
      </w:r>
      <w:r>
        <w:rPr>
          <w:rFonts w:ascii="宋体" w:hAnsi="宋体" w:eastAsia="宋体" w:cs="宋体"/>
          <w:sz w:val="24"/>
          <w:szCs w:val="24"/>
        </w:rPr>
        <w:t xml:space="preserve"> </w:t>
      </w:r>
      <w:r>
        <w:rPr>
          <w:rFonts w:ascii="宋体" w:hAnsi="宋体" w:eastAsia="宋体" w:cs="宋体"/>
          <w:strike/>
          <w:sz w:val="24"/>
          <w:szCs w:val="24"/>
        </w:rPr>
        <w:t>相</w:t>
      </w:r>
      <w:r>
        <w:rPr>
          <w:rFonts w:ascii="宋体" w:hAnsi="宋体" w:eastAsia="宋体" w:cs="宋体"/>
          <w:sz w:val="24"/>
          <w:szCs w:val="24"/>
        </w:rPr>
        <w:t>一</w:t>
      </w:r>
      <w:r>
        <w:rPr>
          <w:rFonts w:ascii="宋体" w:hAnsi="宋体" w:eastAsia="宋体" w:cs="宋体"/>
          <w:strike/>
          <w:sz w:val="24"/>
          <w:szCs w:val="24"/>
        </w:rPr>
        <w:t>致；复合土钉墙施工必须符合“超前支护，分层分段，</w:t>
      </w:r>
      <w:r>
        <w:rPr>
          <w:rFonts w:ascii="宋体" w:hAnsi="宋体" w:eastAsia="宋体" w:cs="宋体"/>
          <w:strike/>
          <w:spacing w:val="-1"/>
          <w:sz w:val="24"/>
          <w:szCs w:val="24"/>
        </w:rPr>
        <w:t>逐层施作，限时封闭，严</w:t>
      </w:r>
      <w:r>
        <w:rPr>
          <w:rFonts w:ascii="宋体" w:hAnsi="宋体" w:eastAsia="宋体" w:cs="宋体"/>
          <w:sz w:val="24"/>
          <w:szCs w:val="24"/>
        </w:rPr>
        <w:t xml:space="preserve"> </w:t>
      </w:r>
      <w:r>
        <w:rPr>
          <w:rFonts w:ascii="宋体" w:hAnsi="宋体" w:eastAsia="宋体" w:cs="宋体"/>
          <w:strike/>
          <w:spacing w:val="-2"/>
          <w:sz w:val="24"/>
          <w:szCs w:val="24"/>
        </w:rPr>
        <w:t>禁超挖”的要求。</w:t>
      </w:r>
    </w:p>
    <w:p w14:paraId="16B34F04">
      <w:pPr>
        <w:spacing w:before="41" w:line="225" w:lineRule="auto"/>
        <w:ind w:left="10"/>
        <w:outlineLvl w:val="2"/>
        <w:rPr>
          <w:rFonts w:ascii="宋体" w:hAnsi="宋体" w:eastAsia="宋体" w:cs="宋体"/>
          <w:sz w:val="27"/>
          <w:szCs w:val="27"/>
        </w:rPr>
      </w:pPr>
      <w:bookmarkStart w:id="7" w:name="bookmark56"/>
      <w:bookmarkEnd w:id="7"/>
      <w:r>
        <w:rPr>
          <w:rFonts w:ascii="Times New Roman" w:hAnsi="Times New Roman" w:eastAsia="Times New Roman" w:cs="Times New Roman"/>
          <w:b/>
          <w:bCs/>
          <w:spacing w:val="4"/>
          <w:sz w:val="27"/>
          <w:szCs w:val="27"/>
        </w:rPr>
        <w:t>12.</w:t>
      </w:r>
      <w:r>
        <w:rPr>
          <w:rFonts w:ascii="Times New Roman" w:hAnsi="Times New Roman" w:eastAsia="Times New Roman" w:cs="Times New Roman"/>
          <w:b/>
          <w:bCs/>
          <w:spacing w:val="-38"/>
          <w:sz w:val="27"/>
          <w:szCs w:val="27"/>
        </w:rPr>
        <w:t xml:space="preserve"> </w:t>
      </w:r>
      <w:r>
        <w:rPr>
          <w:rFonts w:ascii="宋体" w:hAnsi="宋体" w:eastAsia="宋体" w:cs="宋体"/>
          <w:b/>
          <w:bCs/>
          <w:spacing w:val="4"/>
          <w:sz w:val="27"/>
          <w:szCs w:val="27"/>
        </w:rPr>
        <w:t>《高层建筑筏形与箱形基础技术规范》</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4"/>
          <w:sz w:val="27"/>
          <w:szCs w:val="27"/>
        </w:rPr>
        <w:t>6-</w:t>
      </w:r>
      <w:r>
        <w:rPr>
          <w:rFonts w:ascii="Times New Roman" w:hAnsi="Times New Roman" w:eastAsia="Times New Roman" w:cs="Times New Roman"/>
          <w:b/>
          <w:bCs/>
          <w:spacing w:val="3"/>
          <w:sz w:val="27"/>
          <w:szCs w:val="27"/>
        </w:rPr>
        <w:t>2011</w:t>
      </w:r>
      <w:r>
        <w:rPr>
          <w:rFonts w:ascii="Times New Roman" w:hAnsi="Times New Roman" w:eastAsia="Times New Roman" w:cs="Times New Roman"/>
          <w:b/>
          <w:bCs/>
          <w:spacing w:val="-11"/>
          <w:sz w:val="27"/>
          <w:szCs w:val="27"/>
        </w:rPr>
        <w:t xml:space="preserve"> </w:t>
      </w:r>
      <w:r>
        <w:rPr>
          <w:rFonts w:ascii="宋体" w:hAnsi="宋体" w:eastAsia="宋体" w:cs="宋体"/>
          <w:b/>
          <w:bCs/>
          <w:spacing w:val="3"/>
          <w:sz w:val="27"/>
          <w:szCs w:val="27"/>
        </w:rPr>
        <w:t>【强条已废】</w:t>
      </w:r>
    </w:p>
    <w:p w14:paraId="463D6C9A">
      <w:pPr>
        <w:spacing w:before="287" w:line="220" w:lineRule="auto"/>
        <w:ind w:left="28"/>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0AD4A95E">
      <w:pPr>
        <w:spacing w:before="311" w:line="279" w:lineRule="auto"/>
        <w:ind w:right="120" w:firstLine="1"/>
        <w:rPr>
          <w:rFonts w:ascii="宋体" w:hAnsi="宋体" w:eastAsia="宋体" w:cs="宋体"/>
          <w:sz w:val="24"/>
          <w:szCs w:val="24"/>
        </w:rPr>
      </w:pPr>
      <w:r>
        <w:rPr>
          <w:rFonts w:ascii="Times New Roman" w:hAnsi="Times New Roman" w:eastAsia="Times New Roman" w:cs="Times New Roman"/>
          <w:strike/>
          <w:sz w:val="24"/>
          <w:szCs w:val="24"/>
        </w:rPr>
        <w:t xml:space="preserve">3.0.2    </w:t>
      </w:r>
      <w:r>
        <w:rPr>
          <w:rFonts w:ascii="宋体" w:hAnsi="宋体" w:eastAsia="宋体" w:cs="宋体"/>
          <w:strike/>
          <w:sz w:val="24"/>
          <w:szCs w:val="24"/>
        </w:rPr>
        <w:t>高层建筑筏形与箱形基础的地基设计应进行承载力和</w:t>
      </w:r>
      <w:r>
        <w:rPr>
          <w:rFonts w:ascii="宋体" w:hAnsi="宋体" w:eastAsia="宋体" w:cs="宋体"/>
          <w:strike/>
          <w:spacing w:val="-1"/>
          <w:sz w:val="24"/>
          <w:szCs w:val="24"/>
        </w:rPr>
        <w:t>地基变形计算。对建造在</w:t>
      </w:r>
      <w:r>
        <w:rPr>
          <w:rFonts w:ascii="宋体" w:hAnsi="宋体" w:eastAsia="宋体" w:cs="宋体"/>
          <w:sz w:val="24"/>
          <w:szCs w:val="24"/>
        </w:rPr>
        <w:t xml:space="preserve"> </w:t>
      </w:r>
      <w:r>
        <w:rPr>
          <w:rFonts w:ascii="宋体" w:hAnsi="宋体" w:eastAsia="宋体" w:cs="宋体"/>
          <w:strike/>
          <w:spacing w:val="-1"/>
          <w:sz w:val="24"/>
          <w:szCs w:val="24"/>
        </w:rPr>
        <w:t>斜坡上的高层建筑，应进行整体稳定性验算。</w:t>
      </w:r>
    </w:p>
    <w:p w14:paraId="019B36C7">
      <w:pPr>
        <w:spacing w:before="155" w:line="278" w:lineRule="auto"/>
        <w:ind w:right="120"/>
        <w:rPr>
          <w:rFonts w:ascii="宋体" w:hAnsi="宋体" w:eastAsia="宋体" w:cs="宋体"/>
          <w:sz w:val="24"/>
          <w:szCs w:val="24"/>
        </w:rPr>
      </w:pPr>
      <w:r>
        <w:rPr>
          <w:rFonts w:ascii="Times New Roman" w:hAnsi="Times New Roman" w:eastAsia="Times New Roman" w:cs="Times New Roman"/>
          <w:strike/>
          <w:sz w:val="24"/>
          <w:szCs w:val="24"/>
        </w:rPr>
        <w:t xml:space="preserve">3.0.3    </w:t>
      </w:r>
      <w:r>
        <w:rPr>
          <w:rFonts w:ascii="宋体" w:hAnsi="宋体" w:eastAsia="宋体" w:cs="宋体"/>
          <w:strike/>
          <w:sz w:val="24"/>
          <w:szCs w:val="24"/>
        </w:rPr>
        <w:t>高层建筑筏形与箱形基础设计和施工前应进行岩土工</w:t>
      </w:r>
      <w:r>
        <w:rPr>
          <w:rFonts w:ascii="宋体" w:hAnsi="宋体" w:eastAsia="宋体" w:cs="宋体"/>
          <w:strike/>
          <w:spacing w:val="-1"/>
          <w:sz w:val="24"/>
          <w:szCs w:val="24"/>
        </w:rPr>
        <w:t>程勘察，为设计和施工提</w:t>
      </w:r>
      <w:r>
        <w:rPr>
          <w:rFonts w:ascii="宋体" w:hAnsi="宋体" w:eastAsia="宋体" w:cs="宋体"/>
          <w:sz w:val="24"/>
          <w:szCs w:val="24"/>
        </w:rPr>
        <w:t xml:space="preserve"> </w:t>
      </w:r>
      <w:r>
        <w:rPr>
          <w:rFonts w:ascii="宋体" w:hAnsi="宋体" w:eastAsia="宋体" w:cs="宋体"/>
          <w:strike/>
          <w:spacing w:val="-2"/>
          <w:sz w:val="24"/>
          <w:szCs w:val="24"/>
        </w:rPr>
        <w:t>供依据。</w:t>
      </w:r>
    </w:p>
    <w:p w14:paraId="291ADDD6">
      <w:pPr>
        <w:spacing w:before="157" w:line="279" w:lineRule="auto"/>
        <w:ind w:left="3" w:right="120" w:hanging="2"/>
        <w:rPr>
          <w:rFonts w:ascii="宋体" w:hAnsi="宋体" w:eastAsia="宋体" w:cs="宋体"/>
          <w:sz w:val="24"/>
          <w:szCs w:val="24"/>
        </w:rPr>
      </w:pPr>
      <w:r>
        <w:rPr>
          <w:rFonts w:ascii="Times New Roman" w:hAnsi="Times New Roman" w:eastAsia="Times New Roman" w:cs="Times New Roman"/>
          <w:strike/>
          <w:sz w:val="24"/>
          <w:szCs w:val="24"/>
        </w:rPr>
        <w:t xml:space="preserve">6.1.7    </w:t>
      </w:r>
      <w:r>
        <w:rPr>
          <w:rFonts w:ascii="宋体" w:hAnsi="宋体" w:eastAsia="宋体" w:cs="宋体"/>
          <w:strike/>
          <w:sz w:val="24"/>
          <w:szCs w:val="24"/>
        </w:rPr>
        <w:t>基础混凝土应符合耐久性要求。筏形基础和桩箱、</w:t>
      </w:r>
      <w:r>
        <w:rPr>
          <w:rFonts w:ascii="宋体" w:hAnsi="宋体" w:eastAsia="宋体" w:cs="宋体"/>
          <w:strike/>
          <w:spacing w:val="-1"/>
          <w:sz w:val="24"/>
          <w:szCs w:val="24"/>
        </w:rPr>
        <w:t>桩筏基础的混凝土强度等级</w:t>
      </w:r>
      <w:r>
        <w:rPr>
          <w:rFonts w:ascii="宋体" w:hAnsi="宋体" w:eastAsia="宋体" w:cs="宋体"/>
          <w:sz w:val="24"/>
          <w:szCs w:val="24"/>
        </w:rPr>
        <w:t xml:space="preserve"> </w:t>
      </w:r>
      <w:r>
        <w:rPr>
          <w:rFonts w:ascii="宋体" w:hAnsi="宋体" w:eastAsia="宋体" w:cs="宋体"/>
          <w:strike/>
          <w:spacing w:val="-2"/>
          <w:sz w:val="24"/>
          <w:szCs w:val="24"/>
        </w:rPr>
        <w:t>不应低于</w:t>
      </w:r>
      <w:r>
        <w:rPr>
          <w:rFonts w:ascii="宋体" w:hAnsi="宋体" w:eastAsia="宋体" w:cs="宋体"/>
          <w:strike/>
          <w:spacing w:val="-42"/>
          <w:sz w:val="24"/>
          <w:szCs w:val="24"/>
        </w:rPr>
        <w:t xml:space="preserve"> </w:t>
      </w:r>
      <w:r>
        <w:rPr>
          <w:rFonts w:ascii="Times New Roman" w:hAnsi="Times New Roman" w:eastAsia="Times New Roman" w:cs="Times New Roman"/>
          <w:strike/>
          <w:spacing w:val="-2"/>
          <w:sz w:val="24"/>
          <w:szCs w:val="24"/>
        </w:rPr>
        <w:t>C30</w:t>
      </w:r>
      <w:r>
        <w:rPr>
          <w:rFonts w:ascii="宋体" w:hAnsi="宋体" w:eastAsia="宋体" w:cs="宋体"/>
          <w:strike/>
          <w:spacing w:val="-2"/>
          <w:sz w:val="24"/>
          <w:szCs w:val="24"/>
        </w:rPr>
        <w:t>；箱形基础的混凝土强度等级不应低于</w:t>
      </w:r>
      <w:r>
        <w:rPr>
          <w:rFonts w:ascii="宋体" w:hAnsi="宋体" w:eastAsia="宋体" w:cs="宋体"/>
          <w:strike/>
          <w:spacing w:val="-38"/>
          <w:sz w:val="24"/>
          <w:szCs w:val="24"/>
        </w:rPr>
        <w:t xml:space="preserve"> </w:t>
      </w:r>
      <w:r>
        <w:rPr>
          <w:rFonts w:ascii="Times New Roman" w:hAnsi="Times New Roman" w:eastAsia="Times New Roman" w:cs="Times New Roman"/>
          <w:strike/>
          <w:spacing w:val="-2"/>
          <w:sz w:val="24"/>
          <w:szCs w:val="24"/>
        </w:rPr>
        <w:t>C25</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2783D8B3">
      <w:pPr>
        <w:spacing w:before="201" w:line="226" w:lineRule="auto"/>
        <w:ind w:left="10"/>
        <w:outlineLvl w:val="2"/>
        <w:rPr>
          <w:rFonts w:ascii="宋体" w:hAnsi="宋体" w:eastAsia="宋体" w:cs="宋体"/>
          <w:sz w:val="27"/>
          <w:szCs w:val="27"/>
        </w:rPr>
      </w:pPr>
      <w:bookmarkStart w:id="8" w:name="bookmark57"/>
      <w:bookmarkEnd w:id="8"/>
      <w:r>
        <w:rPr>
          <w:rFonts w:ascii="Times New Roman" w:hAnsi="Times New Roman" w:eastAsia="Times New Roman" w:cs="Times New Roman"/>
          <w:b/>
          <w:bCs/>
          <w:spacing w:val="3"/>
          <w:sz w:val="27"/>
          <w:szCs w:val="27"/>
        </w:rPr>
        <w:t>13.</w:t>
      </w:r>
      <w:r>
        <w:rPr>
          <w:rFonts w:ascii="Times New Roman" w:hAnsi="Times New Roman" w:eastAsia="Times New Roman" w:cs="Times New Roman"/>
          <w:b/>
          <w:bCs/>
          <w:spacing w:val="-25"/>
          <w:sz w:val="27"/>
          <w:szCs w:val="27"/>
        </w:rPr>
        <w:t xml:space="preserve"> </w:t>
      </w:r>
      <w:r>
        <w:rPr>
          <w:rFonts w:ascii="宋体" w:hAnsi="宋体" w:eastAsia="宋体" w:cs="宋体"/>
          <w:b/>
          <w:bCs/>
          <w:spacing w:val="3"/>
          <w:sz w:val="27"/>
          <w:szCs w:val="27"/>
        </w:rPr>
        <w:t>《建筑地基处理技术规范》</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3"/>
          <w:sz w:val="27"/>
          <w:szCs w:val="27"/>
        </w:rPr>
        <w:t>79-2012</w:t>
      </w:r>
      <w:r>
        <w:rPr>
          <w:rFonts w:ascii="Times New Roman" w:hAnsi="Times New Roman" w:eastAsia="Times New Roman" w:cs="Times New Roman"/>
          <w:b/>
          <w:bCs/>
          <w:spacing w:val="-11"/>
          <w:sz w:val="27"/>
          <w:szCs w:val="27"/>
        </w:rPr>
        <w:t xml:space="preserve"> </w:t>
      </w:r>
      <w:r>
        <w:rPr>
          <w:rFonts w:ascii="宋体" w:hAnsi="宋体" w:eastAsia="宋体" w:cs="宋体"/>
          <w:b/>
          <w:bCs/>
          <w:spacing w:val="3"/>
          <w:sz w:val="27"/>
          <w:szCs w:val="27"/>
        </w:rPr>
        <w:t>【强条已废】</w:t>
      </w:r>
    </w:p>
    <w:p w14:paraId="2B4966F8">
      <w:pPr>
        <w:spacing w:before="286" w:line="220" w:lineRule="auto"/>
        <w:ind w:left="28"/>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74046BF4">
      <w:pPr>
        <w:spacing w:before="309" w:line="339" w:lineRule="auto"/>
        <w:ind w:left="27" w:right="120" w:hanging="26"/>
        <w:rPr>
          <w:rFonts w:ascii="宋体" w:hAnsi="宋体" w:eastAsia="宋体" w:cs="宋体"/>
          <w:sz w:val="24"/>
          <w:szCs w:val="24"/>
        </w:rPr>
      </w:pPr>
      <w:r>
        <w:rPr>
          <w:rFonts w:ascii="Times New Roman" w:hAnsi="Times New Roman" w:eastAsia="Times New Roman" w:cs="Times New Roman"/>
          <w:strike/>
          <w:sz w:val="24"/>
          <w:szCs w:val="24"/>
        </w:rPr>
        <w:t xml:space="preserve">3.0.5    </w:t>
      </w:r>
      <w:r>
        <w:rPr>
          <w:rFonts w:ascii="宋体" w:hAnsi="宋体" w:eastAsia="宋体" w:cs="宋体"/>
          <w:strike/>
          <w:sz w:val="24"/>
          <w:szCs w:val="24"/>
        </w:rPr>
        <w:t>处理后的地基应满足建筑物地基承载力、变形和稳定</w:t>
      </w:r>
      <w:r>
        <w:rPr>
          <w:rFonts w:ascii="宋体" w:hAnsi="宋体" w:eastAsia="宋体" w:cs="宋体"/>
          <w:strike/>
          <w:spacing w:val="-1"/>
          <w:sz w:val="24"/>
          <w:szCs w:val="24"/>
        </w:rPr>
        <w:t>性要求，地基处理的设计</w:t>
      </w:r>
      <w:r>
        <w:rPr>
          <w:rFonts w:ascii="宋体" w:hAnsi="宋体" w:eastAsia="宋体" w:cs="宋体"/>
          <w:sz w:val="24"/>
          <w:szCs w:val="24"/>
        </w:rPr>
        <w:t xml:space="preserve"> </w:t>
      </w:r>
      <w:r>
        <w:rPr>
          <w:rFonts w:ascii="宋体" w:hAnsi="宋体" w:eastAsia="宋体" w:cs="宋体"/>
          <w:strike/>
          <w:spacing w:val="-4"/>
          <w:sz w:val="24"/>
          <w:szCs w:val="24"/>
        </w:rPr>
        <w:t>尚应符合下列规定：</w:t>
      </w:r>
    </w:p>
    <w:p w14:paraId="74339B10">
      <w:pPr>
        <w:spacing w:before="2" w:line="278" w:lineRule="auto"/>
        <w:ind w:right="120" w:firstLine="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经处理后的地基，当在受力层范围内仍存在软弱下卧层时，应验算下卧层的地</w:t>
      </w:r>
      <w:r>
        <w:rPr>
          <w:rFonts w:ascii="宋体" w:hAnsi="宋体" w:eastAsia="宋体" w:cs="宋体"/>
          <w:spacing w:val="7"/>
          <w:sz w:val="24"/>
          <w:szCs w:val="24"/>
        </w:rPr>
        <w:t xml:space="preserve"> </w:t>
      </w:r>
      <w:r>
        <w:rPr>
          <w:rFonts w:ascii="宋体" w:hAnsi="宋体" w:eastAsia="宋体" w:cs="宋体"/>
          <w:spacing w:val="-8"/>
          <w:sz w:val="24"/>
          <w:szCs w:val="24"/>
        </w:rPr>
        <w:t>基承载力。</w:t>
      </w:r>
    </w:p>
    <w:p w14:paraId="3EBDE1FA">
      <w:pPr>
        <w:spacing w:before="155" w:line="220" w:lineRule="auto"/>
        <w:ind w:left="476"/>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按地基变形设计或应作变形验算且需要进行地基处理的建筑物或</w:t>
      </w:r>
      <w:r>
        <w:rPr>
          <w:rFonts w:ascii="宋体" w:hAnsi="宋体" w:eastAsia="宋体" w:cs="宋体"/>
          <w:spacing w:val="-1"/>
          <w:sz w:val="24"/>
          <w:szCs w:val="24"/>
        </w:rPr>
        <w:t>构筑物，应对</w:t>
      </w:r>
    </w:p>
    <w:p w14:paraId="45B7E8CB">
      <w:pPr>
        <w:spacing w:line="220" w:lineRule="auto"/>
        <w:rPr>
          <w:rFonts w:ascii="宋体" w:hAnsi="宋体" w:eastAsia="宋体" w:cs="宋体"/>
          <w:sz w:val="24"/>
          <w:szCs w:val="24"/>
        </w:rPr>
        <w:sectPr>
          <w:footerReference r:id="rId10" w:type="default"/>
          <w:pgSz w:w="11907" w:h="16839"/>
          <w:pgMar w:top="400" w:right="1489" w:bottom="743" w:left="1425" w:header="0" w:footer="582" w:gutter="0"/>
          <w:cols w:space="720" w:num="1"/>
        </w:sectPr>
      </w:pPr>
    </w:p>
    <w:p w14:paraId="2631298E">
      <w:pPr>
        <w:pStyle w:val="2"/>
        <w:spacing w:line="303" w:lineRule="auto"/>
      </w:pPr>
    </w:p>
    <w:p w14:paraId="294B982F">
      <w:pPr>
        <w:pStyle w:val="2"/>
        <w:spacing w:line="303" w:lineRule="auto"/>
      </w:pPr>
    </w:p>
    <w:p w14:paraId="2FA7CF11">
      <w:pPr>
        <w:pStyle w:val="2"/>
        <w:spacing w:line="303" w:lineRule="auto"/>
      </w:pPr>
    </w:p>
    <w:p w14:paraId="05024DF1">
      <w:pPr>
        <w:spacing w:before="78" w:line="220" w:lineRule="auto"/>
        <w:ind w:left="8"/>
        <w:rPr>
          <w:rFonts w:ascii="宋体" w:hAnsi="宋体" w:eastAsia="宋体" w:cs="宋体"/>
          <w:sz w:val="24"/>
          <w:szCs w:val="24"/>
        </w:rPr>
      </w:pPr>
      <w:r>
        <w:rPr>
          <w:rFonts w:ascii="宋体" w:hAnsi="宋体" w:eastAsia="宋体" w:cs="宋体"/>
          <w:spacing w:val="-5"/>
          <w:sz w:val="24"/>
          <w:szCs w:val="24"/>
        </w:rPr>
        <w:t>处理后的地基进行变形验算；</w:t>
      </w:r>
    </w:p>
    <w:p w14:paraId="43FAE6C4">
      <w:pPr>
        <w:spacing w:before="155" w:line="338" w:lineRule="auto"/>
        <w:ind w:left="1" w:right="127" w:firstLine="482"/>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对建造在处理后的地基上受较大水平荷载或位于斜坡</w:t>
      </w:r>
      <w:r>
        <w:rPr>
          <w:rFonts w:ascii="宋体" w:hAnsi="宋体" w:eastAsia="宋体" w:cs="宋体"/>
          <w:spacing w:val="-1"/>
          <w:sz w:val="24"/>
          <w:szCs w:val="24"/>
        </w:rPr>
        <w:t>上的建筑物及构筑物，应</w:t>
      </w:r>
      <w:r>
        <w:rPr>
          <w:rFonts w:ascii="宋体" w:hAnsi="宋体" w:eastAsia="宋体" w:cs="宋体"/>
          <w:sz w:val="24"/>
          <w:szCs w:val="24"/>
        </w:rPr>
        <w:t xml:space="preserve"> </w:t>
      </w:r>
      <w:r>
        <w:rPr>
          <w:rFonts w:ascii="宋体" w:hAnsi="宋体" w:eastAsia="宋体" w:cs="宋体"/>
          <w:spacing w:val="-4"/>
          <w:sz w:val="24"/>
          <w:szCs w:val="24"/>
        </w:rPr>
        <w:t>进行地基稳定性验算。</w:t>
      </w:r>
    </w:p>
    <w:p w14:paraId="62AB8228">
      <w:pPr>
        <w:spacing w:line="279" w:lineRule="auto"/>
        <w:ind w:left="5" w:right="126" w:hanging="5"/>
        <w:rPr>
          <w:rFonts w:ascii="宋体" w:hAnsi="宋体" w:eastAsia="宋体" w:cs="宋体"/>
          <w:sz w:val="24"/>
          <w:szCs w:val="24"/>
        </w:rPr>
      </w:pPr>
      <w:r>
        <w:rPr>
          <w:rFonts w:ascii="Times New Roman" w:hAnsi="Times New Roman" w:eastAsia="Times New Roman" w:cs="Times New Roman"/>
          <w:b/>
          <w:bCs/>
          <w:strike/>
          <w:sz w:val="24"/>
          <w:szCs w:val="24"/>
        </w:rPr>
        <w:t xml:space="preserve">4.4.2    </w:t>
      </w:r>
      <w:r>
        <w:rPr>
          <w:rFonts w:ascii="Times New Roman" w:hAnsi="Times New Roman" w:eastAsia="Times New Roman" w:cs="Times New Roman"/>
          <w:b/>
          <w:bCs/>
          <w:spacing w:val="-48"/>
          <w:sz w:val="24"/>
          <w:szCs w:val="24"/>
        </w:rPr>
        <w:t xml:space="preserve"> </w:t>
      </w:r>
      <w:r>
        <w:rPr>
          <w:rFonts w:ascii="宋体" w:hAnsi="宋体" w:eastAsia="宋体" w:cs="宋体"/>
          <w:sz w:val="24"/>
          <w:szCs w:val="24"/>
        </w:rPr>
        <w:t>换填垫层施工质量检验应分层进行，</w:t>
      </w:r>
      <w:r>
        <w:rPr>
          <w:rFonts w:ascii="宋体" w:hAnsi="宋体" w:eastAsia="宋体" w:cs="宋体"/>
          <w:spacing w:val="-1"/>
          <w:sz w:val="24"/>
          <w:szCs w:val="24"/>
        </w:rPr>
        <w:t>并应在每层的压实系数符合设计要求后铺</w:t>
      </w:r>
      <w:r>
        <w:rPr>
          <w:rFonts w:ascii="宋体" w:hAnsi="宋体" w:eastAsia="宋体" w:cs="宋体"/>
          <w:sz w:val="24"/>
          <w:szCs w:val="24"/>
        </w:rPr>
        <w:t xml:space="preserve"> </w:t>
      </w:r>
      <w:r>
        <w:rPr>
          <w:rFonts w:ascii="宋体" w:hAnsi="宋体" w:eastAsia="宋体" w:cs="宋体"/>
          <w:spacing w:val="-11"/>
          <w:sz w:val="24"/>
          <w:szCs w:val="24"/>
        </w:rPr>
        <w:t>填层。</w:t>
      </w:r>
    </w:p>
    <w:p w14:paraId="4D239BA9">
      <w:pPr>
        <w:spacing w:before="153"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5.4.2    </w:t>
      </w:r>
      <w:r>
        <w:rPr>
          <w:rFonts w:ascii="宋体" w:hAnsi="宋体" w:eastAsia="宋体" w:cs="宋体"/>
          <w:strike/>
          <w:spacing w:val="-1"/>
          <w:sz w:val="24"/>
          <w:szCs w:val="24"/>
        </w:rPr>
        <w:t>预压地基竣工验收检验应符合下列规定：</w:t>
      </w:r>
    </w:p>
    <w:p w14:paraId="26335DB2">
      <w:pPr>
        <w:spacing w:before="155" w:line="279" w:lineRule="auto"/>
        <w:ind w:left="4" w:right="127" w:firstLine="497"/>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排水竖井处理深度范围内和竖井底面以下受压土层，经预压所完成的竖向变形</w:t>
      </w:r>
      <w:r>
        <w:rPr>
          <w:rFonts w:ascii="宋体" w:hAnsi="宋体" w:eastAsia="宋体" w:cs="宋体"/>
          <w:spacing w:val="7"/>
          <w:sz w:val="24"/>
          <w:szCs w:val="24"/>
        </w:rPr>
        <w:t xml:space="preserve"> </w:t>
      </w:r>
      <w:r>
        <w:rPr>
          <w:rFonts w:ascii="宋体" w:hAnsi="宋体" w:eastAsia="宋体" w:cs="宋体"/>
          <w:strike/>
          <w:spacing w:val="-1"/>
          <w:sz w:val="24"/>
          <w:szCs w:val="24"/>
        </w:rPr>
        <w:t>和平均固结度应满足设计要求；</w:t>
      </w:r>
    </w:p>
    <w:p w14:paraId="4DFE4BE6">
      <w:pPr>
        <w:spacing w:before="153" w:line="220" w:lineRule="auto"/>
        <w:ind w:left="479"/>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应对预压地基土进行原位试验和室内土工试验。</w:t>
      </w:r>
    </w:p>
    <w:p w14:paraId="3D596ACC">
      <w:pPr>
        <w:spacing w:before="155" w:line="279" w:lineRule="auto"/>
        <w:ind w:left="11" w:right="127" w:hanging="7"/>
        <w:rPr>
          <w:rFonts w:ascii="宋体" w:hAnsi="宋体" w:eastAsia="宋体" w:cs="宋体"/>
          <w:sz w:val="24"/>
          <w:szCs w:val="24"/>
        </w:rPr>
      </w:pPr>
      <w:r>
        <w:rPr>
          <w:rFonts w:ascii="Times New Roman" w:hAnsi="Times New Roman" w:eastAsia="Times New Roman" w:cs="Times New Roman"/>
          <w:strike/>
          <w:sz w:val="24"/>
          <w:szCs w:val="24"/>
        </w:rPr>
        <w:t xml:space="preserve">6.2.5    </w:t>
      </w:r>
      <w:r>
        <w:rPr>
          <w:rFonts w:ascii="宋体" w:hAnsi="宋体" w:eastAsia="宋体" w:cs="宋体"/>
          <w:strike/>
          <w:sz w:val="24"/>
          <w:szCs w:val="24"/>
        </w:rPr>
        <w:t>压实地基的施工质量检验应分层进行。每完成</w:t>
      </w:r>
      <w:r>
        <w:rPr>
          <w:rFonts w:ascii="宋体" w:hAnsi="宋体" w:eastAsia="宋体" w:cs="宋体"/>
          <w:sz w:val="24"/>
          <w:szCs w:val="24"/>
        </w:rPr>
        <w:t>一</w:t>
      </w:r>
      <w:r>
        <w:rPr>
          <w:rFonts w:ascii="宋体" w:hAnsi="宋体" w:eastAsia="宋体" w:cs="宋体"/>
          <w:strike/>
          <w:sz w:val="24"/>
          <w:szCs w:val="24"/>
        </w:rPr>
        <w:t>道</w:t>
      </w:r>
      <w:r>
        <w:rPr>
          <w:rFonts w:ascii="宋体" w:hAnsi="宋体" w:eastAsia="宋体" w:cs="宋体"/>
          <w:strike/>
          <w:spacing w:val="-1"/>
          <w:sz w:val="24"/>
          <w:szCs w:val="24"/>
        </w:rPr>
        <w:t>工序，应按设计要求进行验</w:t>
      </w:r>
      <w:r>
        <w:rPr>
          <w:rFonts w:ascii="宋体" w:hAnsi="宋体" w:eastAsia="宋体" w:cs="宋体"/>
          <w:sz w:val="24"/>
          <w:szCs w:val="24"/>
        </w:rPr>
        <w:t xml:space="preserve"> </w:t>
      </w:r>
      <w:r>
        <w:rPr>
          <w:rFonts w:ascii="宋体" w:hAnsi="宋体" w:eastAsia="宋体" w:cs="宋体"/>
          <w:strike/>
          <w:spacing w:val="-1"/>
          <w:sz w:val="24"/>
          <w:szCs w:val="24"/>
        </w:rPr>
        <w:t>收，未经验收或验收不合格时，不得进行下</w:t>
      </w:r>
      <w:r>
        <w:rPr>
          <w:rFonts w:ascii="宋体" w:hAnsi="宋体" w:eastAsia="宋体" w:cs="宋体"/>
          <w:spacing w:val="-1"/>
          <w:sz w:val="24"/>
          <w:szCs w:val="24"/>
        </w:rPr>
        <w:t>一</w:t>
      </w:r>
      <w:r>
        <w:rPr>
          <w:rFonts w:ascii="宋体" w:hAnsi="宋体" w:eastAsia="宋体" w:cs="宋体"/>
          <w:strike/>
          <w:spacing w:val="-1"/>
          <w:sz w:val="24"/>
          <w:szCs w:val="24"/>
        </w:rPr>
        <w:t>道工序施工。</w:t>
      </w:r>
    </w:p>
    <w:p w14:paraId="7EA75DAF">
      <w:pPr>
        <w:spacing w:before="154" w:line="220" w:lineRule="auto"/>
        <w:ind w:left="4"/>
        <w:rPr>
          <w:rFonts w:ascii="宋体" w:hAnsi="宋体" w:eastAsia="宋体" w:cs="宋体"/>
          <w:sz w:val="24"/>
          <w:szCs w:val="24"/>
        </w:rPr>
      </w:pPr>
      <w:r>
        <w:rPr>
          <w:rFonts w:ascii="Times New Roman" w:hAnsi="Times New Roman" w:eastAsia="Times New Roman" w:cs="Times New Roman"/>
          <w:strike/>
          <w:sz w:val="24"/>
          <w:szCs w:val="24"/>
        </w:rPr>
        <w:t xml:space="preserve">6.3.2    </w:t>
      </w:r>
      <w:r>
        <w:rPr>
          <w:rFonts w:ascii="宋体" w:hAnsi="宋体" w:eastAsia="宋体" w:cs="宋体"/>
          <w:strike/>
          <w:sz w:val="24"/>
          <w:szCs w:val="24"/>
        </w:rPr>
        <w:t>强夯置换处理地基，必须通过现场试验确</w:t>
      </w:r>
      <w:r>
        <w:rPr>
          <w:rFonts w:ascii="宋体" w:hAnsi="宋体" w:eastAsia="宋体" w:cs="宋体"/>
          <w:strike/>
          <w:spacing w:val="-1"/>
          <w:sz w:val="24"/>
          <w:szCs w:val="24"/>
        </w:rPr>
        <w:t>定其适用性和处理效果。</w:t>
      </w:r>
    </w:p>
    <w:p w14:paraId="1E3FAD1C">
      <w:pPr>
        <w:spacing w:before="154" w:line="279" w:lineRule="auto"/>
        <w:ind w:left="4" w:right="7"/>
        <w:rPr>
          <w:rFonts w:ascii="宋体" w:hAnsi="宋体" w:eastAsia="宋体" w:cs="宋体"/>
          <w:sz w:val="24"/>
          <w:szCs w:val="24"/>
        </w:rPr>
      </w:pPr>
      <w:r>
        <w:rPr>
          <w:rFonts w:ascii="Times New Roman" w:hAnsi="Times New Roman" w:eastAsia="Times New Roman" w:cs="Times New Roman"/>
          <w:strike/>
          <w:sz w:val="24"/>
          <w:szCs w:val="24"/>
        </w:rPr>
        <w:t xml:space="preserve">6.3.10    </w:t>
      </w:r>
      <w:r>
        <w:rPr>
          <w:rFonts w:ascii="宋体" w:hAnsi="宋体" w:eastAsia="宋体" w:cs="宋体"/>
          <w:strike/>
          <w:sz w:val="24"/>
          <w:szCs w:val="24"/>
        </w:rPr>
        <w:t>当强夯施工所引起的振动和侧向挤压对临近建构筑</w:t>
      </w:r>
      <w:r>
        <w:rPr>
          <w:rFonts w:ascii="宋体" w:hAnsi="宋体" w:eastAsia="宋体" w:cs="宋体"/>
          <w:strike/>
          <w:spacing w:val="-1"/>
          <w:sz w:val="24"/>
          <w:szCs w:val="24"/>
        </w:rPr>
        <w:t>物产生不利影响时，应设置</w:t>
      </w:r>
      <w:r>
        <w:rPr>
          <w:rFonts w:ascii="宋体" w:hAnsi="宋体" w:eastAsia="宋体" w:cs="宋体"/>
          <w:sz w:val="24"/>
          <w:szCs w:val="24"/>
        </w:rPr>
        <w:t xml:space="preserve"> </w:t>
      </w:r>
      <w:r>
        <w:rPr>
          <w:rFonts w:ascii="宋体" w:hAnsi="宋体" w:eastAsia="宋体" w:cs="宋体"/>
          <w:strike/>
          <w:spacing w:val="-1"/>
          <w:sz w:val="24"/>
          <w:szCs w:val="24"/>
        </w:rPr>
        <w:t>监测点，并采取挖隔振沟等隔振或防振措施。</w:t>
      </w:r>
    </w:p>
    <w:p w14:paraId="54F8A075">
      <w:pPr>
        <w:spacing w:before="154" w:line="309" w:lineRule="auto"/>
        <w:ind w:left="2" w:right="7" w:firstLine="1"/>
        <w:rPr>
          <w:rFonts w:ascii="宋体" w:hAnsi="宋体" w:eastAsia="宋体" w:cs="宋体"/>
          <w:sz w:val="24"/>
          <w:szCs w:val="24"/>
        </w:rPr>
      </w:pPr>
      <w:r>
        <w:rPr>
          <w:rFonts w:ascii="Times New Roman" w:hAnsi="Times New Roman" w:eastAsia="Times New Roman" w:cs="Times New Roman"/>
          <w:strike/>
          <w:sz w:val="24"/>
          <w:szCs w:val="24"/>
        </w:rPr>
        <w:t xml:space="preserve">6.3.13    </w:t>
      </w:r>
      <w:r>
        <w:rPr>
          <w:rFonts w:ascii="宋体" w:hAnsi="宋体" w:eastAsia="宋体" w:cs="宋体"/>
          <w:strike/>
          <w:sz w:val="24"/>
          <w:szCs w:val="24"/>
        </w:rPr>
        <w:t>强夯处理后的地基竣工验收，承载力检验应根据静</w:t>
      </w:r>
      <w:r>
        <w:rPr>
          <w:rFonts w:ascii="宋体" w:hAnsi="宋体" w:eastAsia="宋体" w:cs="宋体"/>
          <w:strike/>
          <w:spacing w:val="-1"/>
          <w:sz w:val="24"/>
          <w:szCs w:val="24"/>
        </w:rPr>
        <w:t>载荷试验、其他原位测试和</w:t>
      </w:r>
      <w:r>
        <w:rPr>
          <w:rFonts w:ascii="宋体" w:hAnsi="宋体" w:eastAsia="宋体" w:cs="宋体"/>
          <w:sz w:val="24"/>
          <w:szCs w:val="24"/>
        </w:rPr>
        <w:t xml:space="preserve"> </w:t>
      </w:r>
      <w:r>
        <w:rPr>
          <w:rFonts w:ascii="宋体" w:hAnsi="宋体" w:eastAsia="宋体" w:cs="宋体"/>
          <w:strike/>
          <w:sz w:val="24"/>
          <w:szCs w:val="24"/>
        </w:rPr>
        <w:t>室内土工试验等方法综合确定。强夯置换后的地基竣工验收，</w:t>
      </w:r>
      <w:r>
        <w:rPr>
          <w:rFonts w:ascii="宋体" w:hAnsi="宋体" w:eastAsia="宋体" w:cs="宋体"/>
          <w:strike/>
          <w:spacing w:val="-1"/>
          <w:sz w:val="24"/>
          <w:szCs w:val="24"/>
        </w:rPr>
        <w:t>除应采用单墩静载荷试</w:t>
      </w:r>
      <w:r>
        <w:rPr>
          <w:rFonts w:ascii="宋体" w:hAnsi="宋体" w:eastAsia="宋体" w:cs="宋体"/>
          <w:sz w:val="24"/>
          <w:szCs w:val="24"/>
        </w:rPr>
        <w:t xml:space="preserve">  </w:t>
      </w:r>
      <w:r>
        <w:rPr>
          <w:rFonts w:ascii="宋体" w:hAnsi="宋体" w:eastAsia="宋体" w:cs="宋体"/>
          <w:strike/>
          <w:sz w:val="24"/>
          <w:szCs w:val="24"/>
        </w:rPr>
        <w:t>验进行承载力检验外，尚应采用动力触探等查明置换墩着底情</w:t>
      </w:r>
      <w:r>
        <w:rPr>
          <w:rFonts w:ascii="宋体" w:hAnsi="宋体" w:eastAsia="宋体" w:cs="宋体"/>
          <w:strike/>
          <w:spacing w:val="-1"/>
          <w:sz w:val="24"/>
          <w:szCs w:val="24"/>
        </w:rPr>
        <w:t>况及密度随深度的变化</w:t>
      </w:r>
      <w:r>
        <w:rPr>
          <w:rFonts w:ascii="宋体" w:hAnsi="宋体" w:eastAsia="宋体" w:cs="宋体"/>
          <w:sz w:val="24"/>
          <w:szCs w:val="24"/>
        </w:rPr>
        <w:t xml:space="preserve">  </w:t>
      </w:r>
      <w:r>
        <w:rPr>
          <w:rFonts w:ascii="宋体" w:hAnsi="宋体" w:eastAsia="宋体" w:cs="宋体"/>
          <w:strike/>
          <w:spacing w:val="-2"/>
          <w:sz w:val="24"/>
          <w:szCs w:val="24"/>
        </w:rPr>
        <w:t>情况。</w:t>
      </w:r>
    </w:p>
    <w:p w14:paraId="31FE7D8D">
      <w:pPr>
        <w:spacing w:before="155" w:line="279" w:lineRule="auto"/>
        <w:ind w:left="2" w:right="127"/>
        <w:rPr>
          <w:rFonts w:ascii="宋体" w:hAnsi="宋体" w:eastAsia="宋体" w:cs="宋体"/>
          <w:sz w:val="24"/>
          <w:szCs w:val="24"/>
        </w:rPr>
      </w:pPr>
      <w:r>
        <w:rPr>
          <w:rFonts w:ascii="Times New Roman" w:hAnsi="Times New Roman" w:eastAsia="Times New Roman" w:cs="Times New Roman"/>
          <w:strike/>
          <w:sz w:val="24"/>
          <w:szCs w:val="24"/>
        </w:rPr>
        <w:t xml:space="preserve">7.1.2    </w:t>
      </w:r>
      <w:r>
        <w:rPr>
          <w:rFonts w:ascii="宋体" w:hAnsi="宋体" w:eastAsia="宋体" w:cs="宋体"/>
          <w:strike/>
          <w:sz w:val="24"/>
          <w:szCs w:val="24"/>
        </w:rPr>
        <w:t>对散体材料复合地基增强体应进行密实度检验；对有粘</w:t>
      </w:r>
      <w:r>
        <w:rPr>
          <w:rFonts w:ascii="宋体" w:hAnsi="宋体" w:eastAsia="宋体" w:cs="宋体"/>
          <w:strike/>
          <w:spacing w:val="-1"/>
          <w:sz w:val="24"/>
          <w:szCs w:val="24"/>
        </w:rPr>
        <w:t>结强度复合地基增强体</w:t>
      </w:r>
      <w:r>
        <w:rPr>
          <w:rFonts w:ascii="宋体" w:hAnsi="宋体" w:eastAsia="宋体" w:cs="宋体"/>
          <w:sz w:val="24"/>
          <w:szCs w:val="24"/>
        </w:rPr>
        <w:t xml:space="preserve"> </w:t>
      </w:r>
      <w:r>
        <w:rPr>
          <w:rFonts w:ascii="宋体" w:hAnsi="宋体" w:eastAsia="宋体" w:cs="宋体"/>
          <w:strike/>
          <w:spacing w:val="-1"/>
          <w:sz w:val="24"/>
          <w:szCs w:val="24"/>
        </w:rPr>
        <w:t>应进行强度及桩身完整性检验。</w:t>
      </w:r>
    </w:p>
    <w:p w14:paraId="53DECDC0">
      <w:pPr>
        <w:spacing w:before="153" w:line="279" w:lineRule="auto"/>
        <w:ind w:left="2" w:right="127"/>
        <w:rPr>
          <w:rFonts w:ascii="宋体" w:hAnsi="宋体" w:eastAsia="宋体" w:cs="宋体"/>
          <w:sz w:val="24"/>
          <w:szCs w:val="24"/>
        </w:rPr>
      </w:pPr>
      <w:r>
        <w:rPr>
          <w:rFonts w:ascii="Times New Roman" w:hAnsi="Times New Roman" w:eastAsia="Times New Roman" w:cs="Times New Roman"/>
          <w:strike/>
          <w:sz w:val="24"/>
          <w:szCs w:val="24"/>
        </w:rPr>
        <w:t xml:space="preserve">7.1.3    </w:t>
      </w:r>
      <w:r>
        <w:rPr>
          <w:rFonts w:ascii="宋体" w:hAnsi="宋体" w:eastAsia="宋体" w:cs="宋体"/>
          <w:strike/>
          <w:sz w:val="24"/>
          <w:szCs w:val="24"/>
        </w:rPr>
        <w:t>复合地基承载力的验收检验应采用复合地基静载荷试验</w:t>
      </w:r>
      <w:r>
        <w:rPr>
          <w:rFonts w:ascii="宋体" w:hAnsi="宋体" w:eastAsia="宋体" w:cs="宋体"/>
          <w:strike/>
          <w:spacing w:val="-1"/>
          <w:sz w:val="24"/>
          <w:szCs w:val="24"/>
        </w:rPr>
        <w:t>，对有粘结强度的复合</w:t>
      </w:r>
      <w:r>
        <w:rPr>
          <w:rFonts w:ascii="宋体" w:hAnsi="宋体" w:eastAsia="宋体" w:cs="宋体"/>
          <w:sz w:val="24"/>
          <w:szCs w:val="24"/>
        </w:rPr>
        <w:t xml:space="preserve"> </w:t>
      </w:r>
      <w:r>
        <w:rPr>
          <w:rFonts w:ascii="宋体" w:hAnsi="宋体" w:eastAsia="宋体" w:cs="宋体"/>
          <w:strike/>
          <w:spacing w:val="-1"/>
          <w:sz w:val="24"/>
          <w:szCs w:val="24"/>
        </w:rPr>
        <w:t>地基增强体尚应进行单桩静载荷试验。</w:t>
      </w:r>
    </w:p>
    <w:p w14:paraId="5B3F2A9D">
      <w:pPr>
        <w:spacing w:before="156" w:line="299" w:lineRule="auto"/>
        <w:ind w:left="6" w:hanging="4"/>
        <w:rPr>
          <w:rFonts w:ascii="宋体" w:hAnsi="宋体" w:eastAsia="宋体" w:cs="宋体"/>
          <w:sz w:val="24"/>
          <w:szCs w:val="24"/>
        </w:rPr>
      </w:pPr>
      <w:r>
        <w:rPr>
          <w:rFonts w:ascii="Times New Roman" w:hAnsi="Times New Roman" w:eastAsia="Times New Roman" w:cs="Times New Roman"/>
          <w:strike/>
          <w:spacing w:val="-1"/>
          <w:sz w:val="24"/>
          <w:szCs w:val="24"/>
        </w:rPr>
        <w:t xml:space="preserve">7.3.2    </w:t>
      </w:r>
      <w:r>
        <w:rPr>
          <w:rFonts w:ascii="宋体" w:hAnsi="宋体" w:eastAsia="宋体" w:cs="宋体"/>
          <w:strike/>
          <w:spacing w:val="-1"/>
          <w:sz w:val="24"/>
          <w:szCs w:val="24"/>
        </w:rPr>
        <w:t>水泥土搅拌桩用于处理泥炭土、有机质土、</w:t>
      </w:r>
      <w:r>
        <w:rPr>
          <w:rFonts w:ascii="Times New Roman" w:hAnsi="Times New Roman" w:eastAsia="Times New Roman" w:cs="Times New Roman"/>
          <w:strike/>
          <w:spacing w:val="-1"/>
          <w:sz w:val="24"/>
          <w:szCs w:val="24"/>
        </w:rPr>
        <w:t xml:space="preserve">PH </w:t>
      </w:r>
      <w:r>
        <w:rPr>
          <w:rFonts w:ascii="宋体" w:hAnsi="宋体" w:eastAsia="宋体" w:cs="宋体"/>
          <w:strike/>
          <w:spacing w:val="-1"/>
          <w:sz w:val="24"/>
          <w:szCs w:val="24"/>
        </w:rPr>
        <w:t>值小于</w:t>
      </w:r>
      <w:r>
        <w:rPr>
          <w:rFonts w:ascii="宋体" w:hAnsi="宋体" w:eastAsia="宋体" w:cs="宋体"/>
          <w:strike/>
          <w:spacing w:val="-54"/>
          <w:sz w:val="24"/>
          <w:szCs w:val="24"/>
        </w:rPr>
        <w:t xml:space="preserve"> </w:t>
      </w:r>
      <w:r>
        <w:rPr>
          <w:rFonts w:ascii="Times New Roman" w:hAnsi="Times New Roman" w:eastAsia="Times New Roman" w:cs="Times New Roman"/>
          <w:strike/>
          <w:spacing w:val="-1"/>
          <w:sz w:val="24"/>
          <w:szCs w:val="24"/>
        </w:rPr>
        <w:t>4</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的酸性土、塑性指数大</w:t>
      </w:r>
      <w:r>
        <w:rPr>
          <w:rFonts w:ascii="宋体" w:hAnsi="宋体" w:eastAsia="宋体" w:cs="宋体"/>
          <w:sz w:val="24"/>
          <w:szCs w:val="24"/>
        </w:rPr>
        <w:t xml:space="preserve"> </w:t>
      </w:r>
      <w:r>
        <w:rPr>
          <w:rFonts w:ascii="宋体" w:hAnsi="宋体" w:eastAsia="宋体" w:cs="宋体"/>
          <w:strike/>
          <w:spacing w:val="-1"/>
          <w:sz w:val="24"/>
          <w:szCs w:val="24"/>
        </w:rPr>
        <w:t>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25</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1"/>
          <w:sz w:val="24"/>
          <w:szCs w:val="24"/>
        </w:rPr>
        <w:t>的黏土，或在腐蚀性环境中以及无工程经验的地区使用</w:t>
      </w:r>
      <w:r>
        <w:rPr>
          <w:rFonts w:ascii="宋体" w:hAnsi="宋体" w:eastAsia="宋体" w:cs="宋体"/>
          <w:strike/>
          <w:spacing w:val="-2"/>
          <w:sz w:val="24"/>
          <w:szCs w:val="24"/>
        </w:rPr>
        <w:t>时，必须通过现场和室内</w:t>
      </w:r>
      <w:r>
        <w:rPr>
          <w:rFonts w:ascii="宋体" w:hAnsi="宋体" w:eastAsia="宋体" w:cs="宋体"/>
          <w:sz w:val="24"/>
          <w:szCs w:val="24"/>
        </w:rPr>
        <w:t xml:space="preserve"> </w:t>
      </w:r>
      <w:r>
        <w:rPr>
          <w:rFonts w:ascii="宋体" w:hAnsi="宋体" w:eastAsia="宋体" w:cs="宋体"/>
          <w:strike/>
          <w:spacing w:val="-2"/>
          <w:sz w:val="24"/>
          <w:szCs w:val="24"/>
        </w:rPr>
        <w:t>实验确定其适用性。</w:t>
      </w:r>
    </w:p>
    <w:p w14:paraId="438E2D53">
      <w:pPr>
        <w:spacing w:before="153" w:line="279" w:lineRule="auto"/>
        <w:ind w:left="2" w:right="127"/>
        <w:rPr>
          <w:rFonts w:ascii="宋体" w:hAnsi="宋体" w:eastAsia="宋体" w:cs="宋体"/>
          <w:sz w:val="24"/>
          <w:szCs w:val="24"/>
        </w:rPr>
      </w:pPr>
      <w:r>
        <w:rPr>
          <w:rFonts w:ascii="Times New Roman" w:hAnsi="Times New Roman" w:eastAsia="Times New Roman" w:cs="Times New Roman"/>
          <w:strike/>
          <w:sz w:val="24"/>
          <w:szCs w:val="24"/>
        </w:rPr>
        <w:t xml:space="preserve">7.3.6    </w:t>
      </w:r>
      <w:r>
        <w:rPr>
          <w:rFonts w:ascii="宋体" w:hAnsi="宋体" w:eastAsia="宋体" w:cs="宋体"/>
          <w:strike/>
          <w:sz w:val="24"/>
          <w:szCs w:val="24"/>
        </w:rPr>
        <w:t>水泥土搅拌桩干法施工机械必须配置经国家计量部门确</w:t>
      </w:r>
      <w:r>
        <w:rPr>
          <w:rFonts w:ascii="宋体" w:hAnsi="宋体" w:eastAsia="宋体" w:cs="宋体"/>
          <w:strike/>
          <w:spacing w:val="-1"/>
          <w:sz w:val="24"/>
          <w:szCs w:val="24"/>
        </w:rPr>
        <w:t>认的具有能瞬时检测并</w:t>
      </w:r>
      <w:r>
        <w:rPr>
          <w:rFonts w:ascii="宋体" w:hAnsi="宋体" w:eastAsia="宋体" w:cs="宋体"/>
          <w:sz w:val="24"/>
          <w:szCs w:val="24"/>
        </w:rPr>
        <w:t xml:space="preserve"> </w:t>
      </w:r>
      <w:r>
        <w:rPr>
          <w:rFonts w:ascii="宋体" w:hAnsi="宋体" w:eastAsia="宋体" w:cs="宋体"/>
          <w:strike/>
          <w:spacing w:val="-1"/>
          <w:sz w:val="24"/>
          <w:szCs w:val="24"/>
        </w:rPr>
        <w:t>记录出粉体计量装置及搅拌深度自动记录仪。</w:t>
      </w:r>
    </w:p>
    <w:p w14:paraId="6DB2A30D">
      <w:pPr>
        <w:spacing w:before="155" w:line="219" w:lineRule="auto"/>
        <w:ind w:left="8"/>
        <w:rPr>
          <w:rFonts w:ascii="宋体" w:hAnsi="宋体" w:eastAsia="宋体" w:cs="宋体"/>
          <w:sz w:val="24"/>
          <w:szCs w:val="24"/>
        </w:rPr>
      </w:pPr>
      <w:r>
        <w:rPr>
          <w:rFonts w:ascii="Times New Roman" w:hAnsi="Times New Roman" w:eastAsia="Times New Roman" w:cs="Times New Roman"/>
          <w:strike/>
          <w:spacing w:val="-1"/>
          <w:sz w:val="24"/>
          <w:szCs w:val="24"/>
        </w:rPr>
        <w:t xml:space="preserve">8.4.4    </w:t>
      </w:r>
      <w:r>
        <w:rPr>
          <w:rFonts w:ascii="宋体" w:hAnsi="宋体" w:eastAsia="宋体" w:cs="宋体"/>
          <w:strike/>
          <w:spacing w:val="-1"/>
          <w:sz w:val="24"/>
          <w:szCs w:val="24"/>
        </w:rPr>
        <w:t>注浆加固处理后地基的承载力应进行静载荷试验检验。</w:t>
      </w:r>
    </w:p>
    <w:p w14:paraId="2A2F5D51">
      <w:pPr>
        <w:spacing w:before="156" w:line="279" w:lineRule="auto"/>
        <w:ind w:left="9" w:right="7" w:firstLine="12"/>
        <w:rPr>
          <w:rFonts w:ascii="宋体" w:hAnsi="宋体" w:eastAsia="宋体" w:cs="宋体"/>
          <w:sz w:val="24"/>
          <w:szCs w:val="24"/>
        </w:rPr>
      </w:pPr>
      <w:r>
        <w:rPr>
          <w:rFonts w:ascii="Times New Roman" w:hAnsi="Times New Roman" w:eastAsia="Times New Roman" w:cs="Times New Roman"/>
          <w:strike/>
          <w:spacing w:val="-1"/>
          <w:sz w:val="24"/>
          <w:szCs w:val="24"/>
        </w:rPr>
        <w:t xml:space="preserve">10.2.7    </w:t>
      </w:r>
      <w:r>
        <w:rPr>
          <w:rFonts w:ascii="宋体" w:hAnsi="宋体" w:eastAsia="宋体" w:cs="宋体"/>
          <w:strike/>
          <w:spacing w:val="-1"/>
          <w:sz w:val="24"/>
          <w:szCs w:val="24"/>
        </w:rPr>
        <w:t>处理地基上的建筑物应在施工期间及使用期间进行沉降观测，直至沉降达到稳</w:t>
      </w:r>
      <w:r>
        <w:rPr>
          <w:rFonts w:ascii="宋体" w:hAnsi="宋体" w:eastAsia="宋体" w:cs="宋体"/>
          <w:spacing w:val="14"/>
          <w:sz w:val="24"/>
          <w:szCs w:val="24"/>
        </w:rPr>
        <w:t xml:space="preserve"> </w:t>
      </w:r>
      <w:r>
        <w:rPr>
          <w:rFonts w:ascii="宋体" w:hAnsi="宋体" w:eastAsia="宋体" w:cs="宋体"/>
          <w:strike/>
          <w:spacing w:val="-3"/>
          <w:sz w:val="24"/>
          <w:szCs w:val="24"/>
        </w:rPr>
        <w:t>定为止。</w:t>
      </w:r>
    </w:p>
    <w:p w14:paraId="4D42B4E5">
      <w:pPr>
        <w:spacing w:before="200" w:line="226" w:lineRule="auto"/>
        <w:ind w:left="12"/>
        <w:outlineLvl w:val="2"/>
        <w:rPr>
          <w:rFonts w:ascii="宋体" w:hAnsi="宋体" w:eastAsia="宋体" w:cs="宋体"/>
          <w:sz w:val="27"/>
          <w:szCs w:val="27"/>
        </w:rPr>
      </w:pPr>
      <w:bookmarkStart w:id="9" w:name="bookmark58"/>
      <w:bookmarkEnd w:id="9"/>
      <w:r>
        <w:rPr>
          <w:rFonts w:ascii="Times New Roman" w:hAnsi="Times New Roman" w:eastAsia="Times New Roman" w:cs="Times New Roman"/>
          <w:b/>
          <w:bCs/>
          <w:spacing w:val="5"/>
          <w:sz w:val="27"/>
          <w:szCs w:val="27"/>
        </w:rPr>
        <w:t>14.</w:t>
      </w:r>
      <w:r>
        <w:rPr>
          <w:rFonts w:ascii="Times New Roman" w:hAnsi="Times New Roman" w:eastAsia="Times New Roman" w:cs="Times New Roman"/>
          <w:b/>
          <w:bCs/>
          <w:spacing w:val="-30"/>
          <w:sz w:val="27"/>
          <w:szCs w:val="27"/>
        </w:rPr>
        <w:t xml:space="preserve"> </w:t>
      </w:r>
      <w:r>
        <w:rPr>
          <w:rFonts w:ascii="宋体" w:hAnsi="宋体" w:eastAsia="宋体" w:cs="宋体"/>
          <w:b/>
          <w:bCs/>
          <w:spacing w:val="5"/>
          <w:sz w:val="27"/>
          <w:szCs w:val="27"/>
        </w:rPr>
        <w:t>《建筑桩基技术规范》</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94-2008</w:t>
      </w:r>
      <w:r>
        <w:rPr>
          <w:rFonts w:ascii="宋体" w:hAnsi="宋体" w:eastAsia="宋体" w:cs="宋体"/>
          <w:b/>
          <w:bCs/>
          <w:spacing w:val="5"/>
          <w:sz w:val="27"/>
          <w:szCs w:val="27"/>
        </w:rPr>
        <w:t>【强条已废】</w:t>
      </w:r>
    </w:p>
    <w:p w14:paraId="2EAFCF92">
      <w:pPr>
        <w:spacing w:before="286" w:line="220" w:lineRule="auto"/>
        <w:ind w:left="30"/>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0749DEF5">
      <w:pPr>
        <w:spacing w:line="220" w:lineRule="auto"/>
        <w:rPr>
          <w:rFonts w:ascii="宋体" w:hAnsi="宋体" w:eastAsia="宋体" w:cs="宋体"/>
          <w:sz w:val="24"/>
          <w:szCs w:val="24"/>
        </w:rPr>
        <w:sectPr>
          <w:footerReference r:id="rId11" w:type="default"/>
          <w:pgSz w:w="11907" w:h="16839"/>
          <w:pgMar w:top="400" w:right="1481" w:bottom="743" w:left="1423" w:header="0" w:footer="582" w:gutter="0"/>
          <w:cols w:space="720" w:num="1"/>
        </w:sectPr>
      </w:pPr>
    </w:p>
    <w:p w14:paraId="07748066">
      <w:pPr>
        <w:pStyle w:val="2"/>
        <w:spacing w:line="303" w:lineRule="auto"/>
      </w:pPr>
    </w:p>
    <w:p w14:paraId="464ED6FD">
      <w:pPr>
        <w:pStyle w:val="2"/>
        <w:spacing w:line="303" w:lineRule="auto"/>
      </w:pPr>
    </w:p>
    <w:p w14:paraId="75E99416">
      <w:pPr>
        <w:pStyle w:val="2"/>
        <w:spacing w:line="303" w:lineRule="auto"/>
      </w:pPr>
    </w:p>
    <w:p w14:paraId="50749755">
      <w:pPr>
        <w:spacing w:before="78"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3.1.3    </w:t>
      </w:r>
      <w:r>
        <w:rPr>
          <w:rFonts w:ascii="宋体" w:hAnsi="宋体" w:eastAsia="宋体" w:cs="宋体"/>
          <w:strike/>
          <w:sz w:val="24"/>
          <w:szCs w:val="24"/>
        </w:rPr>
        <w:t>桩基应根据具体条件分别进行下列承载</w:t>
      </w:r>
      <w:r>
        <w:rPr>
          <w:rFonts w:ascii="宋体" w:hAnsi="宋体" w:eastAsia="宋体" w:cs="宋体"/>
          <w:strike/>
          <w:spacing w:val="-1"/>
          <w:sz w:val="24"/>
          <w:szCs w:val="24"/>
        </w:rPr>
        <w:t>能力计算和稳定性验算：</w:t>
      </w:r>
    </w:p>
    <w:p w14:paraId="5A184B86">
      <w:pPr>
        <w:spacing w:before="154" w:line="279" w:lineRule="auto"/>
        <w:ind w:left="4" w:right="120" w:firstLine="49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应根据桩基的使用功能和受力特征分别进行桩基的竖向承载力计算和水平承载</w:t>
      </w:r>
      <w:r>
        <w:rPr>
          <w:rFonts w:ascii="宋体" w:hAnsi="宋体" w:eastAsia="宋体" w:cs="宋体"/>
          <w:spacing w:val="7"/>
          <w:sz w:val="24"/>
          <w:szCs w:val="24"/>
        </w:rPr>
        <w:t xml:space="preserve"> </w:t>
      </w:r>
      <w:r>
        <w:rPr>
          <w:rFonts w:ascii="宋体" w:hAnsi="宋体" w:eastAsia="宋体" w:cs="宋体"/>
          <w:spacing w:val="-14"/>
          <w:sz w:val="24"/>
          <w:szCs w:val="24"/>
        </w:rPr>
        <w:t>力计算；</w:t>
      </w:r>
    </w:p>
    <w:p w14:paraId="28432AFF">
      <w:pPr>
        <w:spacing w:before="153" w:line="299" w:lineRule="auto"/>
        <w:ind w:firstLine="476"/>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应对桩身和承台结构承载力进行计算；对于桩侧土不排水抗剪强度小于</w:t>
      </w:r>
      <w:r>
        <w:rPr>
          <w:rFonts w:ascii="宋体" w:hAnsi="宋体" w:eastAsia="宋体" w:cs="宋体"/>
          <w:spacing w:val="-28"/>
          <w:sz w:val="24"/>
          <w:szCs w:val="24"/>
        </w:rPr>
        <w:t xml:space="preserve"> </w:t>
      </w:r>
      <w:r>
        <w:rPr>
          <w:rFonts w:ascii="Times New Roman" w:hAnsi="Times New Roman" w:eastAsia="Times New Roman" w:cs="Times New Roman"/>
          <w:spacing w:val="-1"/>
          <w:sz w:val="24"/>
          <w:szCs w:val="24"/>
        </w:rPr>
        <w:t>10kPa</w:t>
      </w:r>
      <w:r>
        <w:rPr>
          <w:rFonts w:ascii="Times New Roman" w:hAnsi="Times New Roman" w:eastAsia="Times New Roman" w:cs="Times New Roman"/>
          <w:sz w:val="24"/>
          <w:szCs w:val="24"/>
        </w:rPr>
        <w:t xml:space="preserve">    </w:t>
      </w:r>
      <w:r>
        <w:rPr>
          <w:rFonts w:ascii="宋体" w:hAnsi="宋体" w:eastAsia="宋体" w:cs="宋体"/>
          <w:spacing w:val="-1"/>
          <w:sz w:val="24"/>
          <w:szCs w:val="24"/>
        </w:rPr>
        <w:t>且长径比大于</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50</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的桩，应进行桩身压屈验算；对于混凝土</w:t>
      </w:r>
      <w:r>
        <w:rPr>
          <w:rFonts w:ascii="宋体" w:hAnsi="宋体" w:eastAsia="宋体" w:cs="宋体"/>
          <w:spacing w:val="-2"/>
          <w:sz w:val="24"/>
          <w:szCs w:val="24"/>
        </w:rPr>
        <w:t>预制桩，应按吊装、运输和</w:t>
      </w:r>
      <w:r>
        <w:rPr>
          <w:rFonts w:ascii="宋体" w:hAnsi="宋体" w:eastAsia="宋体" w:cs="宋体"/>
          <w:sz w:val="24"/>
          <w:szCs w:val="24"/>
        </w:rPr>
        <w:t xml:space="preserve"> </w:t>
      </w:r>
      <w:r>
        <w:rPr>
          <w:rFonts w:ascii="宋体" w:hAnsi="宋体" w:eastAsia="宋体" w:cs="宋体"/>
          <w:spacing w:val="-2"/>
          <w:sz w:val="24"/>
          <w:szCs w:val="24"/>
        </w:rPr>
        <w:t>锤击作用进行桩身承载力验算；对于钢管桩，应进行局部压</w:t>
      </w:r>
      <w:r>
        <w:rPr>
          <w:rFonts w:ascii="宋体" w:hAnsi="宋体" w:eastAsia="宋体" w:cs="宋体"/>
          <w:spacing w:val="-3"/>
          <w:sz w:val="24"/>
          <w:szCs w:val="24"/>
        </w:rPr>
        <w:t>屈验算；</w:t>
      </w:r>
    </w:p>
    <w:p w14:paraId="7369C0E2">
      <w:pPr>
        <w:spacing w:before="154" w:line="220"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当桩端平面以下存在软弱下卧层时，应进行软弱下卧层承载力验算；</w:t>
      </w:r>
    </w:p>
    <w:p w14:paraId="31DFAECC">
      <w:pPr>
        <w:spacing w:before="154" w:line="220" w:lineRule="auto"/>
        <w:ind w:left="475"/>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对位于坡地、岸边的桩基，应进行整</w:t>
      </w:r>
      <w:r>
        <w:rPr>
          <w:rFonts w:ascii="宋体" w:hAnsi="宋体" w:eastAsia="宋体" w:cs="宋体"/>
          <w:spacing w:val="-3"/>
          <w:sz w:val="24"/>
          <w:szCs w:val="24"/>
        </w:rPr>
        <w:t>体稳定性验算；</w:t>
      </w:r>
    </w:p>
    <w:p w14:paraId="79C5C241">
      <w:pPr>
        <w:spacing w:before="153" w:line="220" w:lineRule="auto"/>
        <w:ind w:left="483"/>
        <w:rPr>
          <w:rFonts w:ascii="宋体" w:hAnsi="宋体" w:eastAsia="宋体" w:cs="宋体"/>
          <w:sz w:val="24"/>
          <w:szCs w:val="24"/>
        </w:rPr>
      </w:pP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对于抗浮、抗拔桩基，应进行基桩和桩群的抗</w:t>
      </w:r>
      <w:r>
        <w:rPr>
          <w:rFonts w:ascii="宋体" w:hAnsi="宋体" w:eastAsia="宋体" w:cs="宋体"/>
          <w:spacing w:val="-3"/>
          <w:sz w:val="24"/>
          <w:szCs w:val="24"/>
        </w:rPr>
        <w:t>拔承载力计算；</w:t>
      </w:r>
    </w:p>
    <w:p w14:paraId="173E3C6D">
      <w:pPr>
        <w:spacing w:before="154" w:line="220"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6  </w:t>
      </w:r>
      <w:r>
        <w:rPr>
          <w:rFonts w:ascii="宋体" w:hAnsi="宋体" w:eastAsia="宋体" w:cs="宋体"/>
          <w:spacing w:val="-2"/>
          <w:sz w:val="24"/>
          <w:szCs w:val="24"/>
        </w:rPr>
        <w:t>对于抗震设防区的桩基，应进行抗震承载力验算。</w:t>
      </w:r>
    </w:p>
    <w:p w14:paraId="7B4E40D3">
      <w:pPr>
        <w:spacing w:before="155" w:line="220"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3.1.4    </w:t>
      </w:r>
      <w:r>
        <w:rPr>
          <w:rFonts w:ascii="宋体" w:hAnsi="宋体" w:eastAsia="宋体" w:cs="宋体"/>
          <w:strike/>
          <w:spacing w:val="-1"/>
          <w:sz w:val="24"/>
          <w:szCs w:val="24"/>
        </w:rPr>
        <w:t>下列建筑桩基应进行沉降计算：</w:t>
      </w:r>
    </w:p>
    <w:p w14:paraId="3EB83554">
      <w:pPr>
        <w:spacing w:before="153" w:line="220" w:lineRule="auto"/>
        <w:ind w:left="499"/>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设计等级为甲级的非嵌岩桩和非深厚坚硬持力层的建筑桩基；</w:t>
      </w:r>
    </w:p>
    <w:p w14:paraId="4221DB4A">
      <w:pPr>
        <w:spacing w:before="155" w:line="279" w:lineRule="auto"/>
        <w:ind w:right="120" w:firstLine="475"/>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设计等级为乙级的体形复杂、荷载分布显著不均匀或桩端平面</w:t>
      </w:r>
      <w:r>
        <w:rPr>
          <w:rFonts w:ascii="宋体" w:hAnsi="宋体" w:eastAsia="宋体" w:cs="宋体"/>
          <w:spacing w:val="-1"/>
          <w:sz w:val="24"/>
          <w:szCs w:val="24"/>
        </w:rPr>
        <w:t>以下存在软弱土</w:t>
      </w:r>
      <w:r>
        <w:rPr>
          <w:rFonts w:ascii="宋体" w:hAnsi="宋体" w:eastAsia="宋体" w:cs="宋体"/>
          <w:sz w:val="24"/>
          <w:szCs w:val="24"/>
        </w:rPr>
        <w:t xml:space="preserve"> </w:t>
      </w:r>
      <w:r>
        <w:rPr>
          <w:rFonts w:ascii="宋体" w:hAnsi="宋体" w:eastAsia="宋体" w:cs="宋体"/>
          <w:spacing w:val="-9"/>
          <w:sz w:val="24"/>
          <w:szCs w:val="24"/>
        </w:rPr>
        <w:t>层的建筑桩基；</w:t>
      </w:r>
    </w:p>
    <w:p w14:paraId="4BAB852A">
      <w:pPr>
        <w:spacing w:before="153" w:line="220" w:lineRule="auto"/>
        <w:ind w:left="481"/>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软土地基多层建筑减沉复合疏桩基础。</w:t>
      </w:r>
    </w:p>
    <w:p w14:paraId="7DB5CA1F">
      <w:pPr>
        <w:spacing w:before="155" w:line="220" w:lineRule="auto"/>
        <w:ind w:left="3"/>
        <w:rPr>
          <w:rFonts w:ascii="宋体" w:hAnsi="宋体" w:eastAsia="宋体" w:cs="宋体"/>
          <w:sz w:val="24"/>
          <w:szCs w:val="24"/>
        </w:rPr>
      </w:pPr>
      <w:r>
        <w:rPr>
          <w:rFonts w:ascii="Times New Roman" w:hAnsi="Times New Roman" w:eastAsia="Times New Roman" w:cs="Times New Roman"/>
          <w:strike/>
          <w:spacing w:val="-1"/>
          <w:sz w:val="24"/>
          <w:szCs w:val="24"/>
        </w:rPr>
        <w:t xml:space="preserve">5.2.1    </w:t>
      </w:r>
      <w:r>
        <w:rPr>
          <w:rFonts w:ascii="宋体" w:hAnsi="宋体" w:eastAsia="宋体" w:cs="宋体"/>
          <w:strike/>
          <w:spacing w:val="-1"/>
          <w:sz w:val="24"/>
          <w:szCs w:val="24"/>
        </w:rPr>
        <w:t>桩基竖向承载力计算应符合下列要求：</w:t>
      </w:r>
    </w:p>
    <w:p w14:paraId="43A573E7">
      <w:pPr>
        <w:spacing w:before="154" w:line="220" w:lineRule="auto"/>
        <w:ind w:left="499"/>
        <w:rPr>
          <w:rFonts w:ascii="宋体" w:hAnsi="宋体" w:eastAsia="宋体" w:cs="宋体"/>
          <w:sz w:val="24"/>
          <w:szCs w:val="24"/>
        </w:rPr>
      </w:pP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荷载效应标准组合：</w:t>
      </w:r>
    </w:p>
    <w:p w14:paraId="67D00A0A">
      <w:pPr>
        <w:spacing w:before="154" w:line="220" w:lineRule="auto"/>
        <w:ind w:left="480"/>
        <w:rPr>
          <w:rFonts w:ascii="宋体" w:hAnsi="宋体" w:eastAsia="宋体" w:cs="宋体"/>
          <w:sz w:val="24"/>
          <w:szCs w:val="24"/>
        </w:rPr>
      </w:pPr>
      <w:r>
        <w:rPr>
          <w:rFonts w:ascii="宋体" w:hAnsi="宋体" w:eastAsia="宋体" w:cs="宋体"/>
          <w:sz w:val="24"/>
          <w:szCs w:val="24"/>
        </w:rPr>
        <w:t>轴心竖向力作用下</w:t>
      </w:r>
      <w:r>
        <w:rPr>
          <w:rFonts w:ascii="宋体" w:hAnsi="宋体" w:eastAsia="宋体" w:cs="宋体"/>
          <w:spacing w:val="5"/>
          <w:sz w:val="24"/>
          <w:szCs w:val="24"/>
        </w:rPr>
        <w:t xml:space="preserve">       </w:t>
      </w:r>
      <w:r>
        <w:rPr>
          <w:rFonts w:ascii="Times New Roman" w:hAnsi="Times New Roman" w:eastAsia="Times New Roman" w:cs="Times New Roman"/>
          <w:sz w:val="24"/>
          <w:szCs w:val="24"/>
        </w:rPr>
        <w:t>N</w:t>
      </w:r>
      <w:r>
        <w:rPr>
          <w:rFonts w:ascii="Times New Roman" w:hAnsi="Times New Roman" w:eastAsia="Times New Roman" w:cs="Times New Roman"/>
          <w:position w:val="-5"/>
          <w:sz w:val="14"/>
          <w:szCs w:val="14"/>
        </w:rPr>
        <w:t xml:space="preserve">k  </w:t>
      </w:r>
      <w:r>
        <w:rPr>
          <w:rFonts w:ascii="宋体" w:hAnsi="宋体" w:eastAsia="宋体" w:cs="宋体"/>
          <w:sz w:val="24"/>
          <w:szCs w:val="24"/>
        </w:rPr>
        <w:t>≤</w:t>
      </w:r>
      <w:r>
        <w:rPr>
          <w:rFonts w:ascii="Times New Roman" w:hAnsi="Times New Roman" w:eastAsia="Times New Roman" w:cs="Times New Roman"/>
          <w:sz w:val="24"/>
          <w:szCs w:val="24"/>
        </w:rPr>
        <w:t xml:space="preserve">R                          </w:t>
      </w:r>
      <w:r>
        <w:rPr>
          <w:rFonts w:ascii="宋体" w:hAnsi="宋体" w:eastAsia="宋体" w:cs="宋体"/>
          <w:sz w:val="24"/>
          <w:szCs w:val="24"/>
        </w:rPr>
        <w:t>（</w:t>
      </w:r>
      <w:r>
        <w:rPr>
          <w:rFonts w:ascii="Times New Roman" w:hAnsi="Times New Roman" w:eastAsia="Times New Roman" w:cs="Times New Roman"/>
          <w:sz w:val="24"/>
          <w:szCs w:val="24"/>
        </w:rPr>
        <w:t>5.2</w:t>
      </w:r>
      <w:r>
        <w:rPr>
          <w:rFonts w:ascii="Times New Roman" w:hAnsi="Times New Roman" w:eastAsia="Times New Roman" w:cs="Times New Roman"/>
          <w:spacing w:val="-1"/>
          <w:sz w:val="24"/>
          <w:szCs w:val="24"/>
        </w:rPr>
        <w:t>.1-1</w:t>
      </w:r>
      <w:r>
        <w:rPr>
          <w:rFonts w:ascii="宋体" w:hAnsi="宋体" w:eastAsia="宋体" w:cs="宋体"/>
          <w:spacing w:val="-1"/>
          <w:sz w:val="24"/>
          <w:szCs w:val="24"/>
        </w:rPr>
        <w:t>）</w:t>
      </w:r>
    </w:p>
    <w:p w14:paraId="49563CB8">
      <w:pPr>
        <w:spacing w:before="143" w:line="220" w:lineRule="auto"/>
        <w:ind w:left="480"/>
        <w:rPr>
          <w:rFonts w:ascii="宋体" w:hAnsi="宋体" w:eastAsia="宋体" w:cs="宋体"/>
          <w:sz w:val="24"/>
          <w:szCs w:val="24"/>
        </w:rPr>
      </w:pPr>
      <w:r>
        <w:rPr>
          <w:rFonts w:ascii="宋体" w:hAnsi="宋体" w:eastAsia="宋体" w:cs="宋体"/>
          <w:spacing w:val="-3"/>
          <w:sz w:val="24"/>
          <w:szCs w:val="24"/>
        </w:rPr>
        <w:t>偏心竖向力作用下，除满足上式外，尚应满足下式的要求：</w:t>
      </w:r>
    </w:p>
    <w:p w14:paraId="74D6F196">
      <w:pPr>
        <w:spacing w:before="156" w:line="220" w:lineRule="auto"/>
        <w:ind w:left="3152"/>
        <w:rPr>
          <w:rFonts w:ascii="宋体" w:hAnsi="宋体" w:eastAsia="宋体" w:cs="宋体"/>
          <w:sz w:val="24"/>
          <w:szCs w:val="24"/>
        </w:rPr>
      </w:pPr>
      <w:r>
        <w:rPr>
          <w:rFonts w:ascii="Times New Roman" w:hAnsi="Times New Roman" w:eastAsia="Times New Roman" w:cs="Times New Roman"/>
          <w:sz w:val="24"/>
          <w:szCs w:val="24"/>
        </w:rPr>
        <w:t>N</w:t>
      </w:r>
      <w:r>
        <w:rPr>
          <w:rFonts w:ascii="Times New Roman" w:hAnsi="Times New Roman" w:eastAsia="Times New Roman" w:cs="Times New Roman"/>
          <w:i/>
          <w:iCs/>
          <w:position w:val="-5"/>
          <w:sz w:val="14"/>
          <w:szCs w:val="14"/>
        </w:rPr>
        <w:t>k</w:t>
      </w:r>
      <w:r>
        <w:rPr>
          <w:rFonts w:ascii="Times New Roman" w:hAnsi="Times New Roman" w:eastAsia="Times New Roman" w:cs="Times New Roman"/>
          <w:i/>
          <w:iCs/>
          <w:spacing w:val="-3"/>
          <w:position w:val="-5"/>
          <w:sz w:val="14"/>
          <w:szCs w:val="14"/>
        </w:rPr>
        <w:t xml:space="preserve"> </w:t>
      </w:r>
      <w:r>
        <w:rPr>
          <w:rFonts w:ascii="Times New Roman" w:hAnsi="Times New Roman" w:eastAsia="Times New Roman" w:cs="Times New Roman"/>
          <w:position w:val="-5"/>
          <w:sz w:val="14"/>
          <w:szCs w:val="14"/>
        </w:rPr>
        <w:t>max</w:t>
      </w:r>
      <w:r>
        <w:rPr>
          <w:rFonts w:ascii="Times New Roman" w:hAnsi="Times New Roman" w:eastAsia="Times New Roman" w:cs="Times New Roman"/>
          <w:spacing w:val="32"/>
          <w:w w:val="102"/>
          <w:position w:val="-5"/>
          <w:sz w:val="14"/>
          <w:szCs w:val="14"/>
        </w:rPr>
        <w:t xml:space="preserve"> </w:t>
      </w:r>
      <w:r>
        <w:rPr>
          <w:rFonts w:ascii="宋体" w:hAnsi="宋体" w:eastAsia="宋体" w:cs="宋体"/>
          <w:sz w:val="24"/>
          <w:szCs w:val="24"/>
        </w:rPr>
        <w:t>≤</w:t>
      </w:r>
      <w:r>
        <w:rPr>
          <w:rFonts w:ascii="Times New Roman" w:hAnsi="Times New Roman" w:eastAsia="Times New Roman" w:cs="Times New Roman"/>
          <w:sz w:val="24"/>
          <w:szCs w:val="24"/>
        </w:rPr>
        <w:t>1.2R</w:t>
      </w:r>
      <w:r>
        <w:rPr>
          <w:rFonts w:ascii="Times New Roman" w:hAnsi="Times New Roman" w:eastAsia="Times New Roman" w:cs="Times New Roman"/>
          <w:spacing w:val="3"/>
          <w:sz w:val="24"/>
          <w:szCs w:val="24"/>
        </w:rPr>
        <w:t xml:space="preserve">                 </w:t>
      </w:r>
      <w:r>
        <w:rPr>
          <w:rFonts w:ascii="宋体" w:hAnsi="宋体" w:eastAsia="宋体" w:cs="宋体"/>
          <w:sz w:val="24"/>
          <w:szCs w:val="24"/>
        </w:rPr>
        <w:t>（</w:t>
      </w:r>
      <w:r>
        <w:rPr>
          <w:rFonts w:ascii="Times New Roman" w:hAnsi="Times New Roman" w:eastAsia="Times New Roman" w:cs="Times New Roman"/>
          <w:sz w:val="24"/>
          <w:szCs w:val="24"/>
        </w:rPr>
        <w:t>5.2.1-2</w:t>
      </w:r>
      <w:r>
        <w:rPr>
          <w:rFonts w:ascii="宋体" w:hAnsi="宋体" w:eastAsia="宋体" w:cs="宋体"/>
          <w:sz w:val="24"/>
          <w:szCs w:val="24"/>
        </w:rPr>
        <w:t>）</w:t>
      </w:r>
    </w:p>
    <w:p w14:paraId="5C2568E3">
      <w:pPr>
        <w:spacing w:before="141" w:line="220" w:lineRule="auto"/>
        <w:ind w:left="476"/>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地震作用效应和荷载效应标准组合：</w:t>
      </w:r>
    </w:p>
    <w:p w14:paraId="3C212A29">
      <w:pPr>
        <w:spacing w:before="155" w:line="221" w:lineRule="auto"/>
        <w:ind w:left="480"/>
        <w:rPr>
          <w:rFonts w:ascii="宋体" w:hAnsi="宋体" w:eastAsia="宋体" w:cs="宋体"/>
          <w:sz w:val="24"/>
          <w:szCs w:val="24"/>
        </w:rPr>
      </w:pPr>
      <w:r>
        <w:rPr>
          <w:rFonts w:ascii="宋体" w:hAnsi="宋体" w:eastAsia="宋体" w:cs="宋体"/>
          <w:spacing w:val="1"/>
          <w:sz w:val="24"/>
          <w:szCs w:val="24"/>
        </w:rPr>
        <w:t xml:space="preserve">轴心竖向力作用下        </w:t>
      </w:r>
      <w:r>
        <w:rPr>
          <w:rFonts w:ascii="Times New Roman" w:hAnsi="Times New Roman" w:eastAsia="Times New Roman" w:cs="Times New Roman"/>
          <w:sz w:val="24"/>
          <w:szCs w:val="24"/>
        </w:rPr>
        <w:t>N</w:t>
      </w:r>
      <w:r>
        <w:rPr>
          <w:rFonts w:ascii="Times New Roman" w:hAnsi="Times New Roman" w:eastAsia="Times New Roman" w:cs="Times New Roman"/>
          <w:i/>
          <w:iCs/>
          <w:position w:val="-5"/>
          <w:sz w:val="14"/>
          <w:szCs w:val="14"/>
        </w:rPr>
        <w:t>Ek</w:t>
      </w:r>
      <w:r>
        <w:rPr>
          <w:rFonts w:ascii="Times New Roman" w:hAnsi="Times New Roman" w:eastAsia="Times New Roman" w:cs="Times New Roman"/>
          <w:i/>
          <w:iCs/>
          <w:spacing w:val="1"/>
          <w:position w:val="-5"/>
          <w:sz w:val="14"/>
          <w:szCs w:val="1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1.25R          </w:t>
      </w:r>
      <w:r>
        <w:rPr>
          <w:rFonts w:ascii="Times New Roman" w:hAnsi="Times New Roman" w:eastAsia="Times New Roman" w:cs="Times New Roman"/>
          <w:sz w:val="24"/>
          <w:szCs w:val="24"/>
        </w:rPr>
        <w:t xml:space="preserve">        </w:t>
      </w:r>
      <w:r>
        <w:rPr>
          <w:rFonts w:ascii="宋体" w:hAnsi="宋体" w:eastAsia="宋体" w:cs="宋体"/>
          <w:sz w:val="24"/>
          <w:szCs w:val="24"/>
        </w:rPr>
        <w:t>（</w:t>
      </w:r>
      <w:r>
        <w:rPr>
          <w:rFonts w:ascii="Times New Roman" w:hAnsi="Times New Roman" w:eastAsia="Times New Roman" w:cs="Times New Roman"/>
          <w:sz w:val="24"/>
          <w:szCs w:val="24"/>
        </w:rPr>
        <w:t>5.2.1-3</w:t>
      </w:r>
      <w:r>
        <w:rPr>
          <w:rFonts w:ascii="宋体" w:hAnsi="宋体" w:eastAsia="宋体" w:cs="宋体"/>
          <w:sz w:val="24"/>
          <w:szCs w:val="24"/>
        </w:rPr>
        <w:t>）</w:t>
      </w:r>
    </w:p>
    <w:p w14:paraId="16A3C3BA">
      <w:pPr>
        <w:spacing w:before="142" w:line="220" w:lineRule="auto"/>
        <w:ind w:left="480"/>
        <w:rPr>
          <w:rFonts w:ascii="宋体" w:hAnsi="宋体" w:eastAsia="宋体" w:cs="宋体"/>
          <w:sz w:val="24"/>
          <w:szCs w:val="24"/>
        </w:rPr>
      </w:pPr>
      <w:r>
        <w:rPr>
          <w:rFonts w:ascii="宋体" w:hAnsi="宋体" w:eastAsia="宋体" w:cs="宋体"/>
          <w:spacing w:val="-3"/>
          <w:sz w:val="24"/>
          <w:szCs w:val="24"/>
        </w:rPr>
        <w:t>偏心竖向力作用下，除满足上式外，尚应满足下式的要求：</w:t>
      </w:r>
    </w:p>
    <w:p w14:paraId="11C80543">
      <w:pPr>
        <w:spacing w:before="154" w:line="220" w:lineRule="auto"/>
        <w:ind w:left="3392"/>
        <w:rPr>
          <w:rFonts w:ascii="宋体" w:hAnsi="宋体" w:eastAsia="宋体" w:cs="宋体"/>
          <w:sz w:val="24"/>
          <w:szCs w:val="24"/>
        </w:rPr>
      </w:pPr>
      <w:r>
        <w:rPr>
          <w:rFonts w:ascii="Times New Roman" w:hAnsi="Times New Roman" w:eastAsia="Times New Roman" w:cs="Times New Roman"/>
          <w:sz w:val="23"/>
          <w:szCs w:val="23"/>
        </w:rPr>
        <w:t>N</w:t>
      </w:r>
      <w:r>
        <w:rPr>
          <w:rFonts w:ascii="Times New Roman" w:hAnsi="Times New Roman" w:eastAsia="Times New Roman" w:cs="Times New Roman"/>
          <w:i/>
          <w:iCs/>
          <w:position w:val="-5"/>
          <w:sz w:val="14"/>
          <w:szCs w:val="14"/>
        </w:rPr>
        <w:t>Ek</w:t>
      </w:r>
      <w:r>
        <w:rPr>
          <w:rFonts w:ascii="Times New Roman" w:hAnsi="Times New Roman" w:eastAsia="Times New Roman" w:cs="Times New Roman"/>
          <w:i/>
          <w:iCs/>
          <w:spacing w:val="4"/>
          <w:position w:val="-5"/>
          <w:sz w:val="14"/>
          <w:szCs w:val="14"/>
        </w:rPr>
        <w:t xml:space="preserve"> </w:t>
      </w:r>
      <w:r>
        <w:rPr>
          <w:rFonts w:ascii="Times New Roman" w:hAnsi="Times New Roman" w:eastAsia="Times New Roman" w:cs="Times New Roman"/>
          <w:position w:val="-5"/>
          <w:sz w:val="14"/>
          <w:szCs w:val="14"/>
        </w:rPr>
        <w:t>max</w:t>
      </w:r>
      <w:r>
        <w:rPr>
          <w:rFonts w:ascii="Times New Roman" w:hAnsi="Times New Roman" w:eastAsia="Times New Roman" w:cs="Times New Roman"/>
          <w:spacing w:val="1"/>
          <w:position w:val="-5"/>
          <w:sz w:val="14"/>
          <w:szCs w:val="1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1.5R</w:t>
      </w:r>
      <w:r>
        <w:rPr>
          <w:rFonts w:ascii="Times New Roman" w:hAnsi="Times New Roman" w:eastAsia="Times New Roman" w:cs="Times New Roman"/>
          <w:spacing w:val="3"/>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pacing w:val="1"/>
          <w:sz w:val="24"/>
          <w:szCs w:val="24"/>
        </w:rPr>
        <w:t>5.2.1-4</w:t>
      </w:r>
      <w:r>
        <w:rPr>
          <w:rFonts w:ascii="宋体" w:hAnsi="宋体" w:eastAsia="宋体" w:cs="宋体"/>
          <w:spacing w:val="1"/>
          <w:sz w:val="24"/>
          <w:szCs w:val="24"/>
        </w:rPr>
        <w:t>）</w:t>
      </w:r>
    </w:p>
    <w:p w14:paraId="22546A59">
      <w:pPr>
        <w:spacing w:before="145" w:line="219" w:lineRule="auto"/>
        <w:ind w:left="5"/>
        <w:rPr>
          <w:rFonts w:ascii="宋体" w:hAnsi="宋体" w:eastAsia="宋体" w:cs="宋体"/>
          <w:sz w:val="24"/>
          <w:szCs w:val="24"/>
        </w:rPr>
      </w:pPr>
      <w:r>
        <w:rPr>
          <w:rFonts w:ascii="宋体" w:hAnsi="宋体" w:eastAsia="宋体" w:cs="宋体"/>
          <w:sz w:val="24"/>
          <w:szCs w:val="24"/>
        </w:rPr>
        <w:t xml:space="preserve">式中  </w:t>
      </w:r>
      <w:r>
        <w:rPr>
          <w:rFonts w:ascii="Times New Roman" w:hAnsi="Times New Roman" w:eastAsia="Times New Roman" w:cs="Times New Roman"/>
          <w:sz w:val="24"/>
          <w:szCs w:val="24"/>
        </w:rPr>
        <w:t>N</w:t>
      </w:r>
      <w:r>
        <w:rPr>
          <w:rFonts w:ascii="Times New Roman" w:hAnsi="Times New Roman" w:eastAsia="Times New Roman" w:cs="Times New Roman"/>
          <w:position w:val="-5"/>
          <w:sz w:val="14"/>
          <w:szCs w:val="14"/>
        </w:rPr>
        <w:t>k</w:t>
      </w:r>
      <w:r>
        <w:rPr>
          <w:rFonts w:ascii="Times New Roman" w:hAnsi="Times New Roman" w:eastAsia="Times New Roman" w:cs="Times New Roman"/>
          <w:spacing w:val="21"/>
          <w:position w:val="-5"/>
          <w:sz w:val="14"/>
          <w:szCs w:val="14"/>
        </w:rPr>
        <w:t xml:space="preserve"> </w:t>
      </w:r>
      <w:r>
        <w:rPr>
          <w:rFonts w:ascii="宋体" w:hAnsi="宋体" w:eastAsia="宋体" w:cs="宋体"/>
          <w:sz w:val="24"/>
          <w:szCs w:val="24"/>
        </w:rPr>
        <w:t>——荷载效应标准组合轴心竖向力作用下，基桩或复合</w:t>
      </w:r>
      <w:r>
        <w:rPr>
          <w:rFonts w:ascii="宋体" w:hAnsi="宋体" w:eastAsia="宋体" w:cs="宋体"/>
          <w:spacing w:val="-1"/>
          <w:sz w:val="24"/>
          <w:szCs w:val="24"/>
        </w:rPr>
        <w:t>基桩的平均竖向力；</w:t>
      </w:r>
    </w:p>
    <w:p w14:paraId="5E5621C5">
      <w:pPr>
        <w:spacing w:before="145" w:line="220" w:lineRule="auto"/>
        <w:ind w:left="512"/>
        <w:rPr>
          <w:rFonts w:ascii="宋体" w:hAnsi="宋体" w:eastAsia="宋体" w:cs="宋体"/>
          <w:sz w:val="24"/>
          <w:szCs w:val="24"/>
        </w:rPr>
      </w:pPr>
      <w:r>
        <w:rPr>
          <w:rFonts w:ascii="Times New Roman" w:hAnsi="Times New Roman" w:eastAsia="Times New Roman" w:cs="Times New Roman"/>
          <w:spacing w:val="-1"/>
          <w:sz w:val="24"/>
          <w:szCs w:val="24"/>
        </w:rPr>
        <w:t>N</w:t>
      </w:r>
      <w:r>
        <w:rPr>
          <w:rFonts w:ascii="Times New Roman" w:hAnsi="Times New Roman" w:eastAsia="Times New Roman" w:cs="Times New Roman"/>
          <w:i/>
          <w:iCs/>
          <w:spacing w:val="-1"/>
          <w:position w:val="-5"/>
          <w:sz w:val="14"/>
          <w:szCs w:val="14"/>
        </w:rPr>
        <w:t>k</w:t>
      </w:r>
      <w:r>
        <w:rPr>
          <w:rFonts w:ascii="Times New Roman" w:hAnsi="Times New Roman" w:eastAsia="Times New Roman" w:cs="Times New Roman"/>
          <w:i/>
          <w:iCs/>
          <w:spacing w:val="-7"/>
          <w:position w:val="-5"/>
          <w:sz w:val="14"/>
          <w:szCs w:val="14"/>
        </w:rPr>
        <w:t xml:space="preserve"> </w:t>
      </w:r>
      <w:r>
        <w:rPr>
          <w:rFonts w:ascii="Times New Roman" w:hAnsi="Times New Roman" w:eastAsia="Times New Roman" w:cs="Times New Roman"/>
          <w:spacing w:val="-1"/>
          <w:position w:val="-5"/>
          <w:sz w:val="14"/>
          <w:szCs w:val="14"/>
        </w:rPr>
        <w:t>max</w:t>
      </w:r>
      <w:r>
        <w:rPr>
          <w:rFonts w:ascii="Times New Roman" w:hAnsi="Times New Roman" w:eastAsia="Times New Roman" w:cs="Times New Roman"/>
          <w:spacing w:val="14"/>
          <w:position w:val="-5"/>
          <w:sz w:val="14"/>
          <w:szCs w:val="14"/>
        </w:rPr>
        <w:t xml:space="preserve"> </w:t>
      </w:r>
      <w:r>
        <w:rPr>
          <w:rFonts w:ascii="宋体" w:hAnsi="宋体" w:eastAsia="宋体" w:cs="宋体"/>
          <w:spacing w:val="-1"/>
          <w:sz w:val="24"/>
          <w:szCs w:val="24"/>
        </w:rPr>
        <w:t>——荷载效应标准组合偏心竖向力作用下，桩顶最大竖向</w:t>
      </w:r>
      <w:r>
        <w:rPr>
          <w:rFonts w:ascii="宋体" w:hAnsi="宋体" w:eastAsia="宋体" w:cs="宋体"/>
          <w:spacing w:val="-2"/>
          <w:sz w:val="24"/>
          <w:szCs w:val="24"/>
        </w:rPr>
        <w:t>力；</w:t>
      </w:r>
    </w:p>
    <w:p w14:paraId="5E6A311D">
      <w:pPr>
        <w:spacing w:before="142" w:line="220" w:lineRule="auto"/>
        <w:ind w:left="512"/>
        <w:rPr>
          <w:rFonts w:ascii="宋体" w:hAnsi="宋体" w:eastAsia="宋体" w:cs="宋体"/>
          <w:sz w:val="24"/>
          <w:szCs w:val="24"/>
        </w:rPr>
      </w:pPr>
      <w:r>
        <w:rPr>
          <w:rFonts w:ascii="Times New Roman" w:hAnsi="Times New Roman" w:eastAsia="Times New Roman" w:cs="Times New Roman"/>
          <w:spacing w:val="-1"/>
          <w:sz w:val="23"/>
          <w:szCs w:val="23"/>
        </w:rPr>
        <w:t>N</w:t>
      </w:r>
      <w:r>
        <w:rPr>
          <w:rFonts w:ascii="Times New Roman" w:hAnsi="Times New Roman" w:eastAsia="Times New Roman" w:cs="Times New Roman"/>
          <w:i/>
          <w:iCs/>
          <w:spacing w:val="-1"/>
          <w:position w:val="-5"/>
          <w:sz w:val="14"/>
          <w:szCs w:val="14"/>
        </w:rPr>
        <w:t>Ek</w:t>
      </w:r>
      <w:r>
        <w:rPr>
          <w:rFonts w:ascii="Times New Roman" w:hAnsi="Times New Roman" w:eastAsia="Times New Roman" w:cs="Times New Roman"/>
          <w:i/>
          <w:iCs/>
          <w:spacing w:val="26"/>
          <w:w w:val="101"/>
          <w:position w:val="-5"/>
          <w:sz w:val="14"/>
          <w:szCs w:val="14"/>
        </w:rPr>
        <w:t xml:space="preserve"> </w:t>
      </w:r>
      <w:r>
        <w:rPr>
          <w:rFonts w:ascii="宋体" w:hAnsi="宋体" w:eastAsia="宋体" w:cs="宋体"/>
          <w:spacing w:val="-1"/>
          <w:sz w:val="24"/>
          <w:szCs w:val="24"/>
        </w:rPr>
        <w:t>——地震作用效应和荷载效应标准组合下，基桩或复合基桩的平均竖向力；</w:t>
      </w:r>
    </w:p>
    <w:p w14:paraId="58744F86">
      <w:pPr>
        <w:spacing w:before="144" w:line="322" w:lineRule="auto"/>
        <w:ind w:left="4" w:right="360" w:firstLine="508"/>
        <w:rPr>
          <w:rFonts w:ascii="宋体" w:hAnsi="宋体" w:eastAsia="宋体" w:cs="宋体"/>
          <w:sz w:val="24"/>
          <w:szCs w:val="24"/>
        </w:rPr>
      </w:pPr>
      <w:r>
        <w:rPr>
          <w:rFonts w:ascii="Times New Roman" w:hAnsi="Times New Roman" w:eastAsia="Times New Roman" w:cs="Times New Roman"/>
          <w:sz w:val="23"/>
          <w:szCs w:val="23"/>
        </w:rPr>
        <w:t>N</w:t>
      </w:r>
      <w:r>
        <w:rPr>
          <w:rFonts w:ascii="Times New Roman" w:hAnsi="Times New Roman" w:eastAsia="Times New Roman" w:cs="Times New Roman"/>
          <w:i/>
          <w:iCs/>
          <w:position w:val="-5"/>
          <w:sz w:val="14"/>
          <w:szCs w:val="14"/>
        </w:rPr>
        <w:t>Ek</w:t>
      </w:r>
      <w:r>
        <w:rPr>
          <w:rFonts w:ascii="Times New Roman" w:hAnsi="Times New Roman" w:eastAsia="Times New Roman" w:cs="Times New Roman"/>
          <w:i/>
          <w:iCs/>
          <w:spacing w:val="-4"/>
          <w:position w:val="-5"/>
          <w:sz w:val="14"/>
          <w:szCs w:val="14"/>
        </w:rPr>
        <w:t xml:space="preserve"> </w:t>
      </w:r>
      <w:r>
        <w:rPr>
          <w:rFonts w:ascii="Times New Roman" w:hAnsi="Times New Roman" w:eastAsia="Times New Roman" w:cs="Times New Roman"/>
          <w:position w:val="-5"/>
          <w:sz w:val="14"/>
          <w:szCs w:val="14"/>
        </w:rPr>
        <w:t>max</w:t>
      </w:r>
      <w:r>
        <w:rPr>
          <w:rFonts w:ascii="Times New Roman" w:hAnsi="Times New Roman" w:eastAsia="Times New Roman" w:cs="Times New Roman"/>
          <w:spacing w:val="25"/>
          <w:w w:val="102"/>
          <w:position w:val="-5"/>
          <w:sz w:val="14"/>
          <w:szCs w:val="14"/>
        </w:rPr>
        <w:t xml:space="preserve"> </w:t>
      </w:r>
      <w:r>
        <w:rPr>
          <w:rFonts w:ascii="宋体" w:hAnsi="宋体" w:eastAsia="宋体" w:cs="宋体"/>
          <w:spacing w:val="1"/>
          <w:sz w:val="24"/>
          <w:szCs w:val="24"/>
        </w:rPr>
        <w:t>——地震作用效应和荷载效应标准组合下，基桩或复合基桩的最大竖向</w:t>
      </w:r>
      <w:r>
        <w:rPr>
          <w:rFonts w:ascii="宋体" w:hAnsi="宋体" w:eastAsia="宋体" w:cs="宋体"/>
          <w:sz w:val="24"/>
          <w:szCs w:val="24"/>
        </w:rPr>
        <w:t xml:space="preserve"> </w:t>
      </w:r>
      <w:r>
        <w:rPr>
          <w:rFonts w:ascii="宋体" w:hAnsi="宋体" w:eastAsia="宋体" w:cs="宋体"/>
          <w:spacing w:val="-18"/>
          <w:sz w:val="24"/>
          <w:szCs w:val="24"/>
        </w:rPr>
        <w:t>力；</w:t>
      </w:r>
    </w:p>
    <w:p w14:paraId="1260A882">
      <w:pPr>
        <w:spacing w:before="31" w:line="220" w:lineRule="auto"/>
        <w:ind w:left="475"/>
        <w:rPr>
          <w:rFonts w:ascii="宋体" w:hAnsi="宋体" w:eastAsia="宋体" w:cs="宋体"/>
          <w:sz w:val="24"/>
          <w:szCs w:val="24"/>
        </w:rPr>
      </w:pPr>
      <w:r>
        <w:rPr>
          <w:rFonts w:ascii="Times New Roman" w:hAnsi="Times New Roman" w:eastAsia="Times New Roman" w:cs="Times New Roman"/>
          <w:spacing w:val="-2"/>
          <w:sz w:val="24"/>
          <w:szCs w:val="24"/>
        </w:rPr>
        <w:t>R</w:t>
      </w:r>
      <w:r>
        <w:rPr>
          <w:rFonts w:ascii="宋体" w:hAnsi="宋体" w:eastAsia="宋体" w:cs="宋体"/>
          <w:spacing w:val="-2"/>
          <w:sz w:val="24"/>
          <w:szCs w:val="24"/>
        </w:rPr>
        <w:t>——基桩或复合基桩竖向承载力特征值。</w:t>
      </w:r>
    </w:p>
    <w:p w14:paraId="5D4E8E28">
      <w:pPr>
        <w:spacing w:before="155" w:line="341" w:lineRule="auto"/>
        <w:ind w:right="120" w:firstLine="2"/>
        <w:rPr>
          <w:rFonts w:ascii="宋体" w:hAnsi="宋体" w:eastAsia="宋体" w:cs="宋体"/>
          <w:sz w:val="24"/>
          <w:szCs w:val="24"/>
        </w:rPr>
      </w:pPr>
      <w:r>
        <w:rPr>
          <w:rFonts w:ascii="Times New Roman" w:hAnsi="Times New Roman" w:eastAsia="Times New Roman" w:cs="Times New Roman"/>
          <w:strike/>
          <w:sz w:val="24"/>
          <w:szCs w:val="24"/>
        </w:rPr>
        <w:t xml:space="preserve">5.4.2    </w:t>
      </w:r>
      <w:r>
        <w:rPr>
          <w:rFonts w:ascii="宋体" w:hAnsi="宋体" w:eastAsia="宋体" w:cs="宋体"/>
          <w:strike/>
          <w:sz w:val="24"/>
          <w:szCs w:val="24"/>
        </w:rPr>
        <w:t>符合下列条件之</w:t>
      </w:r>
      <w:r>
        <w:rPr>
          <w:rFonts w:ascii="宋体" w:hAnsi="宋体" w:eastAsia="宋体" w:cs="宋体"/>
          <w:sz w:val="24"/>
          <w:szCs w:val="24"/>
        </w:rPr>
        <w:t>一</w:t>
      </w:r>
      <w:r>
        <w:rPr>
          <w:rFonts w:ascii="宋体" w:hAnsi="宋体" w:eastAsia="宋体" w:cs="宋体"/>
          <w:strike/>
          <w:sz w:val="24"/>
          <w:szCs w:val="24"/>
        </w:rPr>
        <w:t>的桩基，当桩周土层产生的沉</w:t>
      </w:r>
      <w:r>
        <w:rPr>
          <w:rFonts w:ascii="宋体" w:hAnsi="宋体" w:eastAsia="宋体" w:cs="宋体"/>
          <w:strike/>
          <w:spacing w:val="-1"/>
          <w:sz w:val="24"/>
          <w:szCs w:val="24"/>
        </w:rPr>
        <w:t>降超过基桩的沉降时，在计算</w:t>
      </w:r>
      <w:r>
        <w:rPr>
          <w:rFonts w:ascii="宋体" w:hAnsi="宋体" w:eastAsia="宋体" w:cs="宋体"/>
          <w:sz w:val="24"/>
          <w:szCs w:val="24"/>
        </w:rPr>
        <w:t xml:space="preserve"> </w:t>
      </w:r>
      <w:r>
        <w:rPr>
          <w:rFonts w:ascii="宋体" w:hAnsi="宋体" w:eastAsia="宋体" w:cs="宋体"/>
          <w:strike/>
          <w:spacing w:val="-1"/>
          <w:sz w:val="24"/>
          <w:szCs w:val="24"/>
        </w:rPr>
        <w:t>基桩承载力时应计入桩侧负摩阻力：</w:t>
      </w:r>
    </w:p>
    <w:p w14:paraId="122F52F5">
      <w:pPr>
        <w:spacing w:line="341" w:lineRule="auto"/>
        <w:rPr>
          <w:rFonts w:ascii="宋体" w:hAnsi="宋体" w:eastAsia="宋体" w:cs="宋体"/>
          <w:sz w:val="24"/>
          <w:szCs w:val="24"/>
        </w:rPr>
        <w:sectPr>
          <w:footerReference r:id="rId12" w:type="default"/>
          <w:pgSz w:w="11907" w:h="16839"/>
          <w:pgMar w:top="400" w:right="1489" w:bottom="743" w:left="1425" w:header="0" w:footer="582" w:gutter="0"/>
          <w:cols w:space="720" w:num="1"/>
        </w:sectPr>
      </w:pPr>
    </w:p>
    <w:p w14:paraId="6C2B6DF6">
      <w:pPr>
        <w:pStyle w:val="2"/>
        <w:spacing w:line="303" w:lineRule="auto"/>
      </w:pPr>
    </w:p>
    <w:p w14:paraId="7DA7D60D">
      <w:pPr>
        <w:pStyle w:val="2"/>
        <w:spacing w:line="303" w:lineRule="auto"/>
      </w:pPr>
    </w:p>
    <w:p w14:paraId="48427762">
      <w:pPr>
        <w:pStyle w:val="2"/>
        <w:spacing w:line="304" w:lineRule="auto"/>
      </w:pPr>
    </w:p>
    <w:p w14:paraId="12E208F4">
      <w:pPr>
        <w:spacing w:before="78" w:line="280" w:lineRule="auto"/>
        <w:ind w:left="10" w:right="60" w:firstLine="487"/>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桩穿越较厚松散填土、自重湿陷黄土、欠固结土、液化土层进入相对较硬土层</w:t>
      </w:r>
      <w:r>
        <w:rPr>
          <w:rFonts w:ascii="宋体" w:hAnsi="宋体" w:eastAsia="宋体" w:cs="宋体"/>
          <w:spacing w:val="7"/>
          <w:sz w:val="24"/>
          <w:szCs w:val="24"/>
        </w:rPr>
        <w:t xml:space="preserve"> </w:t>
      </w:r>
      <w:r>
        <w:rPr>
          <w:rFonts w:ascii="宋体" w:hAnsi="宋体" w:eastAsia="宋体" w:cs="宋体"/>
          <w:spacing w:val="-20"/>
          <w:sz w:val="24"/>
          <w:szCs w:val="24"/>
        </w:rPr>
        <w:t>时；</w:t>
      </w:r>
    </w:p>
    <w:p w14:paraId="1001EF6C">
      <w:pPr>
        <w:spacing w:before="149" w:line="280" w:lineRule="auto"/>
        <w:ind w:right="60" w:firstLine="474"/>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桩周存在软弱土层，临近桩侧地面承受局部较大的长期荷载，</w:t>
      </w:r>
      <w:r>
        <w:rPr>
          <w:rFonts w:ascii="宋体" w:hAnsi="宋体" w:eastAsia="宋体" w:cs="宋体"/>
          <w:spacing w:val="-1"/>
          <w:sz w:val="24"/>
          <w:szCs w:val="24"/>
        </w:rPr>
        <w:t>或地面大面积堆</w:t>
      </w:r>
      <w:r>
        <w:rPr>
          <w:rFonts w:ascii="宋体" w:hAnsi="宋体" w:eastAsia="宋体" w:cs="宋体"/>
          <w:sz w:val="24"/>
          <w:szCs w:val="24"/>
        </w:rPr>
        <w:t xml:space="preserve"> </w:t>
      </w:r>
      <w:r>
        <w:rPr>
          <w:rFonts w:ascii="宋体" w:hAnsi="宋体" w:eastAsia="宋体" w:cs="宋体"/>
          <w:spacing w:val="-7"/>
          <w:sz w:val="24"/>
          <w:szCs w:val="24"/>
        </w:rPr>
        <w:t>载（包括填土）时；</w:t>
      </w:r>
    </w:p>
    <w:p w14:paraId="6FC17DE2">
      <w:pPr>
        <w:spacing w:before="153" w:line="219" w:lineRule="auto"/>
        <w:ind w:left="479"/>
        <w:rPr>
          <w:rFonts w:ascii="宋体" w:hAnsi="宋体" w:eastAsia="宋体" w:cs="宋体"/>
          <w:sz w:val="24"/>
          <w:szCs w:val="24"/>
        </w:rPr>
      </w:pPr>
      <w:r>
        <w:rPr>
          <w:rFonts w:ascii="Times New Roman" w:hAnsi="Times New Roman" w:eastAsia="Times New Roman" w:cs="Times New Roman"/>
          <w:spacing w:val="-3"/>
          <w:sz w:val="24"/>
          <w:szCs w:val="24"/>
        </w:rPr>
        <w:t>3</w:t>
      </w:r>
      <w:r>
        <w:rPr>
          <w:rFonts w:ascii="Times New Roman" w:hAnsi="Times New Roman" w:eastAsia="Times New Roman" w:cs="Times New Roman"/>
          <w:spacing w:val="26"/>
          <w:sz w:val="24"/>
          <w:szCs w:val="24"/>
        </w:rPr>
        <w:t xml:space="preserve">  </w:t>
      </w:r>
      <w:r>
        <w:rPr>
          <w:rFonts w:ascii="宋体" w:hAnsi="宋体" w:eastAsia="宋体" w:cs="宋体"/>
          <w:spacing w:val="-3"/>
          <w:sz w:val="24"/>
          <w:szCs w:val="24"/>
        </w:rPr>
        <w:t>由于降低地下水位，使桩周土有效应力增大，并产生显著压缩沉降时。</w:t>
      </w:r>
    </w:p>
    <w:p w14:paraId="3CDADDAD">
      <w:pPr>
        <w:spacing w:before="154"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5.5.1    </w:t>
      </w:r>
      <w:r>
        <w:rPr>
          <w:rFonts w:ascii="宋体" w:hAnsi="宋体" w:eastAsia="宋体" w:cs="宋体"/>
          <w:strike/>
          <w:sz w:val="24"/>
          <w:szCs w:val="24"/>
        </w:rPr>
        <w:t>建筑桩基沉降变形计算值不</w:t>
      </w:r>
      <w:r>
        <w:rPr>
          <w:rFonts w:ascii="宋体" w:hAnsi="宋体" w:eastAsia="宋体" w:cs="宋体"/>
          <w:strike/>
          <w:spacing w:val="-1"/>
          <w:sz w:val="24"/>
          <w:szCs w:val="24"/>
        </w:rPr>
        <w:t>应大于桩基沉降变形允许值。</w:t>
      </w:r>
    </w:p>
    <w:p w14:paraId="370CD5BE">
      <w:pPr>
        <w:spacing w:before="154" w:line="219"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5.5.4    </w:t>
      </w:r>
      <w:r>
        <w:rPr>
          <w:rFonts w:ascii="宋体" w:hAnsi="宋体" w:eastAsia="宋体" w:cs="宋体"/>
          <w:strike/>
          <w:spacing w:val="-1"/>
          <w:sz w:val="24"/>
          <w:szCs w:val="24"/>
        </w:rPr>
        <w:t>建筑桩基沉降变形允许值，应按表</w:t>
      </w:r>
      <w:r>
        <w:rPr>
          <w:rFonts w:ascii="宋体" w:hAnsi="宋体" w:eastAsia="宋体" w:cs="宋体"/>
          <w:strike/>
          <w:spacing w:val="-36"/>
          <w:sz w:val="24"/>
          <w:szCs w:val="24"/>
        </w:rPr>
        <w:t xml:space="preserve"> </w:t>
      </w:r>
      <w:r>
        <w:rPr>
          <w:rFonts w:ascii="Times New Roman" w:hAnsi="Times New Roman" w:eastAsia="Times New Roman" w:cs="Times New Roman"/>
          <w:strike/>
          <w:spacing w:val="-1"/>
          <w:sz w:val="24"/>
          <w:szCs w:val="24"/>
        </w:rPr>
        <w:t xml:space="preserve">5.5.4 </w:t>
      </w:r>
      <w:r>
        <w:rPr>
          <w:rFonts w:ascii="宋体" w:hAnsi="宋体" w:eastAsia="宋体" w:cs="宋体"/>
          <w:strike/>
          <w:spacing w:val="-1"/>
          <w:sz w:val="24"/>
          <w:szCs w:val="24"/>
        </w:rPr>
        <w:t>规定采用。</w:t>
      </w:r>
    </w:p>
    <w:p w14:paraId="039A7EE7">
      <w:pPr>
        <w:spacing w:before="182" w:line="220" w:lineRule="auto"/>
        <w:ind w:left="2931"/>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0"/>
          <w:sz w:val="21"/>
          <w:szCs w:val="21"/>
        </w:rPr>
        <w:t xml:space="preserve"> </w:t>
      </w:r>
      <w:r>
        <w:rPr>
          <w:rFonts w:ascii="Times New Roman" w:hAnsi="Times New Roman" w:eastAsia="Times New Roman" w:cs="Times New Roman"/>
          <w:spacing w:val="-1"/>
          <w:sz w:val="21"/>
          <w:szCs w:val="21"/>
        </w:rPr>
        <w:t xml:space="preserve">5.5.4    </w:t>
      </w:r>
      <w:r>
        <w:rPr>
          <w:rFonts w:ascii="宋体" w:hAnsi="宋体" w:eastAsia="宋体" w:cs="宋体"/>
          <w:spacing w:val="-1"/>
          <w:sz w:val="21"/>
          <w:szCs w:val="21"/>
        </w:rPr>
        <w:t>建筑桩基沉降变形允许值</w:t>
      </w:r>
    </w:p>
    <w:p w14:paraId="4C170D37">
      <w:pPr>
        <w:spacing w:line="150" w:lineRule="exact"/>
      </w:pPr>
    </w:p>
    <w:tbl>
      <w:tblPr>
        <w:tblStyle w:val="5"/>
        <w:tblW w:w="8526" w:type="dxa"/>
        <w:tblInd w:w="4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839"/>
        <w:gridCol w:w="2844"/>
      </w:tblGrid>
      <w:tr w14:paraId="4BDAF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682" w:type="dxa"/>
            <w:gridSpan w:val="2"/>
            <w:vAlign w:val="top"/>
          </w:tcPr>
          <w:p w14:paraId="43FE0363">
            <w:pPr>
              <w:pStyle w:val="6"/>
              <w:spacing w:before="112" w:line="217" w:lineRule="auto"/>
              <w:ind w:left="2428"/>
            </w:pPr>
            <w:r>
              <w:rPr>
                <w:spacing w:val="-2"/>
              </w:rPr>
              <w:t>变性特征</w:t>
            </w:r>
          </w:p>
        </w:tc>
        <w:tc>
          <w:tcPr>
            <w:tcW w:w="2844" w:type="dxa"/>
            <w:vAlign w:val="top"/>
          </w:tcPr>
          <w:p w14:paraId="0E45C27F">
            <w:pPr>
              <w:pStyle w:val="6"/>
              <w:spacing w:before="112" w:line="217" w:lineRule="auto"/>
              <w:ind w:left="1119"/>
            </w:pPr>
            <w:r>
              <w:rPr>
                <w:spacing w:val="-4"/>
              </w:rPr>
              <w:t>允许值</w:t>
            </w:r>
          </w:p>
        </w:tc>
      </w:tr>
      <w:tr w14:paraId="2CBCA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682" w:type="dxa"/>
            <w:gridSpan w:val="2"/>
            <w:vAlign w:val="top"/>
          </w:tcPr>
          <w:p w14:paraId="5E47DB93">
            <w:pPr>
              <w:pStyle w:val="6"/>
              <w:spacing w:before="108" w:line="216" w:lineRule="auto"/>
              <w:ind w:left="1482"/>
            </w:pPr>
            <w:r>
              <w:rPr>
                <w:spacing w:val="-1"/>
              </w:rPr>
              <w:t>砌体承重结构基础的局部倾斜</w:t>
            </w:r>
          </w:p>
        </w:tc>
        <w:tc>
          <w:tcPr>
            <w:tcW w:w="2844" w:type="dxa"/>
            <w:vAlign w:val="top"/>
          </w:tcPr>
          <w:p w14:paraId="5F509223">
            <w:pPr>
              <w:spacing w:before="146" w:line="186" w:lineRule="auto"/>
              <w:ind w:left="11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0.002</w:t>
            </w:r>
          </w:p>
        </w:tc>
      </w:tr>
      <w:tr w14:paraId="7C554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trPr>
        <w:tc>
          <w:tcPr>
            <w:tcW w:w="5682" w:type="dxa"/>
            <w:gridSpan w:val="2"/>
            <w:vAlign w:val="top"/>
          </w:tcPr>
          <w:p w14:paraId="1F60DEA3">
            <w:pPr>
              <w:pStyle w:val="6"/>
              <w:spacing w:before="289" w:line="220" w:lineRule="auto"/>
              <w:ind w:left="1275"/>
            </w:pPr>
            <w:r>
              <w:rPr>
                <w:spacing w:val="-1"/>
              </w:rPr>
              <w:t>各类建筑相邻柱（墙）基的沉降差</w:t>
            </w:r>
          </w:p>
          <w:p w14:paraId="197F323F">
            <w:pPr>
              <w:pStyle w:val="6"/>
              <w:spacing w:before="109" w:line="220" w:lineRule="auto"/>
              <w:ind w:left="121"/>
            </w:pPr>
            <w:r>
              <w:rPr>
                <w:spacing w:val="-1"/>
              </w:rPr>
              <w:t>（</w:t>
            </w:r>
            <w:r>
              <w:rPr>
                <w:rFonts w:ascii="Times New Roman" w:hAnsi="Times New Roman" w:eastAsia="Times New Roman" w:cs="Times New Roman"/>
                <w:spacing w:val="-1"/>
              </w:rPr>
              <w:t>1</w:t>
            </w:r>
            <w:r>
              <w:rPr>
                <w:spacing w:val="-1"/>
              </w:rPr>
              <w:t>）框架、框架</w:t>
            </w:r>
            <w:r>
              <w:rPr>
                <w:rFonts w:ascii="Times New Roman" w:hAnsi="Times New Roman" w:eastAsia="Times New Roman" w:cs="Times New Roman"/>
                <w:spacing w:val="-1"/>
              </w:rPr>
              <w:t>-</w:t>
            </w:r>
            <w:r>
              <w:rPr>
                <w:spacing w:val="-1"/>
              </w:rPr>
              <w:t>剪力墙、框架</w:t>
            </w:r>
            <w:r>
              <w:rPr>
                <w:rFonts w:ascii="Times New Roman" w:hAnsi="Times New Roman" w:eastAsia="Times New Roman" w:cs="Times New Roman"/>
                <w:spacing w:val="-1"/>
              </w:rPr>
              <w:t>-</w:t>
            </w:r>
            <w:r>
              <w:rPr>
                <w:spacing w:val="-1"/>
              </w:rPr>
              <w:t>核心筒结构</w:t>
            </w:r>
          </w:p>
          <w:p w14:paraId="5E9D308B">
            <w:pPr>
              <w:pStyle w:val="6"/>
              <w:spacing w:before="110" w:line="220" w:lineRule="auto"/>
              <w:ind w:left="121"/>
            </w:pPr>
            <w:r>
              <w:rPr>
                <w:spacing w:val="-2"/>
              </w:rPr>
              <w:t>（</w:t>
            </w:r>
            <w:r>
              <w:rPr>
                <w:rFonts w:ascii="Times New Roman" w:hAnsi="Times New Roman" w:eastAsia="Times New Roman" w:cs="Times New Roman"/>
                <w:spacing w:val="-2"/>
              </w:rPr>
              <w:t>2</w:t>
            </w:r>
            <w:r>
              <w:rPr>
                <w:spacing w:val="-2"/>
              </w:rPr>
              <w:t>）砌体墙填充的边排柱</w:t>
            </w:r>
          </w:p>
          <w:p w14:paraId="1ED3508E">
            <w:pPr>
              <w:pStyle w:val="6"/>
              <w:spacing w:before="109" w:line="219" w:lineRule="auto"/>
              <w:ind w:left="121"/>
            </w:pPr>
            <w:r>
              <w:rPr>
                <w:spacing w:val="-2"/>
              </w:rPr>
              <w:t>（</w:t>
            </w:r>
            <w:r>
              <w:rPr>
                <w:rFonts w:ascii="Times New Roman" w:hAnsi="Times New Roman" w:eastAsia="Times New Roman" w:cs="Times New Roman"/>
                <w:spacing w:val="-2"/>
              </w:rPr>
              <w:t>3</w:t>
            </w:r>
            <w:r>
              <w:rPr>
                <w:spacing w:val="-2"/>
              </w:rPr>
              <w:t>）当基础不均匀沉降时不产生附加应力的结构</w:t>
            </w:r>
          </w:p>
        </w:tc>
        <w:tc>
          <w:tcPr>
            <w:tcW w:w="2844" w:type="dxa"/>
            <w:vAlign w:val="top"/>
          </w:tcPr>
          <w:p w14:paraId="73D9F83F">
            <w:pPr>
              <w:spacing w:line="267" w:lineRule="auto"/>
              <w:rPr>
                <w:rFonts w:ascii="Arial"/>
                <w:sz w:val="21"/>
              </w:rPr>
            </w:pPr>
          </w:p>
          <w:p w14:paraId="44555FB8">
            <w:pPr>
              <w:spacing w:line="267" w:lineRule="auto"/>
              <w:rPr>
                <w:rFonts w:ascii="Arial"/>
                <w:sz w:val="21"/>
              </w:rPr>
            </w:pPr>
          </w:p>
          <w:p w14:paraId="5EFA4635">
            <w:pPr>
              <w:spacing w:line="268" w:lineRule="auto"/>
              <w:rPr>
                <w:rFonts w:ascii="Arial"/>
                <w:sz w:val="21"/>
              </w:rPr>
            </w:pPr>
          </w:p>
          <w:p w14:paraId="6989ADAC">
            <w:pPr>
              <w:spacing w:before="60" w:line="197" w:lineRule="auto"/>
              <w:ind w:left="1102"/>
              <w:rPr>
                <w:rFonts w:ascii="Times New Roman" w:hAnsi="Times New Roman" w:eastAsia="Times New Roman" w:cs="Times New Roman"/>
                <w:sz w:val="14"/>
                <w:szCs w:val="14"/>
              </w:rPr>
            </w:pPr>
            <w:r>
              <w:rPr>
                <w:rFonts w:ascii="Times New Roman" w:hAnsi="Times New Roman" w:eastAsia="Times New Roman" w:cs="Times New Roman"/>
                <w:spacing w:val="-1"/>
                <w:sz w:val="21"/>
                <w:szCs w:val="21"/>
              </w:rPr>
              <w:t>0.002</w:t>
            </w:r>
            <w:r>
              <w:rPr>
                <w:rFonts w:ascii="Times New Roman" w:hAnsi="Times New Roman" w:eastAsia="Times New Roman" w:cs="Times New Roman"/>
                <w:spacing w:val="-24"/>
                <w:sz w:val="21"/>
                <w:szCs w:val="21"/>
              </w:rPr>
              <w:t xml:space="preserve"> </w:t>
            </w:r>
            <w:r>
              <w:rPr>
                <w:rFonts w:ascii="Times New Roman" w:hAnsi="Times New Roman" w:eastAsia="Times New Roman" w:cs="Times New Roman"/>
                <w:i/>
                <w:iCs/>
                <w:spacing w:val="-1"/>
                <w:sz w:val="17"/>
                <w:szCs w:val="17"/>
              </w:rPr>
              <w:t>l</w:t>
            </w:r>
            <w:r>
              <w:rPr>
                <w:rFonts w:ascii="Times New Roman" w:hAnsi="Times New Roman" w:eastAsia="Times New Roman" w:cs="Times New Roman"/>
                <w:i/>
                <w:iCs/>
                <w:spacing w:val="-8"/>
                <w:sz w:val="17"/>
                <w:szCs w:val="17"/>
              </w:rPr>
              <w:t xml:space="preserve"> </w:t>
            </w:r>
            <w:r>
              <w:rPr>
                <w:rFonts w:ascii="Times New Roman" w:hAnsi="Times New Roman" w:eastAsia="Times New Roman" w:cs="Times New Roman"/>
                <w:spacing w:val="-1"/>
                <w:position w:val="-1"/>
                <w:sz w:val="14"/>
                <w:szCs w:val="14"/>
              </w:rPr>
              <w:t>0</w:t>
            </w:r>
          </w:p>
          <w:p w14:paraId="00996642">
            <w:pPr>
              <w:spacing w:before="161" w:line="197" w:lineRule="auto"/>
              <w:ind w:left="1050"/>
              <w:rPr>
                <w:rFonts w:ascii="Times New Roman" w:hAnsi="Times New Roman" w:eastAsia="Times New Roman" w:cs="Times New Roman"/>
                <w:sz w:val="14"/>
                <w:szCs w:val="14"/>
              </w:rPr>
            </w:pPr>
            <w:r>
              <w:rPr>
                <w:rFonts w:ascii="Times New Roman" w:hAnsi="Times New Roman" w:eastAsia="Times New Roman" w:cs="Times New Roman"/>
                <w:spacing w:val="-2"/>
                <w:sz w:val="21"/>
                <w:szCs w:val="21"/>
              </w:rPr>
              <w:t>0.0007</w:t>
            </w:r>
            <w:r>
              <w:rPr>
                <w:rFonts w:ascii="Times New Roman" w:hAnsi="Times New Roman" w:eastAsia="Times New Roman" w:cs="Times New Roman"/>
                <w:spacing w:val="-20"/>
                <w:sz w:val="21"/>
                <w:szCs w:val="21"/>
              </w:rPr>
              <w:t xml:space="preserve"> </w:t>
            </w:r>
            <w:r>
              <w:rPr>
                <w:rFonts w:ascii="Times New Roman" w:hAnsi="Times New Roman" w:eastAsia="Times New Roman" w:cs="Times New Roman"/>
                <w:i/>
                <w:iCs/>
                <w:spacing w:val="-2"/>
                <w:sz w:val="18"/>
                <w:szCs w:val="18"/>
              </w:rPr>
              <w:t>l</w:t>
            </w:r>
            <w:r>
              <w:rPr>
                <w:rFonts w:ascii="Times New Roman" w:hAnsi="Times New Roman" w:eastAsia="Times New Roman" w:cs="Times New Roman"/>
                <w:i/>
                <w:iCs/>
                <w:spacing w:val="-10"/>
                <w:sz w:val="18"/>
                <w:szCs w:val="18"/>
              </w:rPr>
              <w:t xml:space="preserve"> </w:t>
            </w:r>
            <w:r>
              <w:rPr>
                <w:rFonts w:ascii="Times New Roman" w:hAnsi="Times New Roman" w:eastAsia="Times New Roman" w:cs="Times New Roman"/>
                <w:spacing w:val="-2"/>
                <w:position w:val="-1"/>
                <w:sz w:val="14"/>
                <w:szCs w:val="14"/>
              </w:rPr>
              <w:t>0</w:t>
            </w:r>
          </w:p>
          <w:p w14:paraId="71349196">
            <w:pPr>
              <w:spacing w:before="162" w:line="196" w:lineRule="auto"/>
              <w:ind w:left="1102"/>
              <w:rPr>
                <w:rFonts w:ascii="Times New Roman" w:hAnsi="Times New Roman" w:eastAsia="Times New Roman" w:cs="Times New Roman"/>
                <w:sz w:val="14"/>
                <w:szCs w:val="14"/>
              </w:rPr>
            </w:pPr>
            <w:r>
              <w:rPr>
                <w:rFonts w:ascii="Times New Roman" w:hAnsi="Times New Roman" w:eastAsia="Times New Roman" w:cs="Times New Roman"/>
                <w:spacing w:val="-2"/>
                <w:sz w:val="21"/>
                <w:szCs w:val="21"/>
              </w:rPr>
              <w:t>0.005</w:t>
            </w:r>
            <w:r>
              <w:rPr>
                <w:rFonts w:ascii="Times New Roman" w:hAnsi="Times New Roman" w:eastAsia="Times New Roman" w:cs="Times New Roman"/>
                <w:spacing w:val="-21"/>
                <w:sz w:val="21"/>
                <w:szCs w:val="21"/>
              </w:rPr>
              <w:t xml:space="preserve"> </w:t>
            </w:r>
            <w:r>
              <w:rPr>
                <w:rFonts w:ascii="Times New Roman" w:hAnsi="Times New Roman" w:eastAsia="Times New Roman" w:cs="Times New Roman"/>
                <w:i/>
                <w:iCs/>
                <w:spacing w:val="-2"/>
                <w:sz w:val="18"/>
                <w:szCs w:val="18"/>
              </w:rPr>
              <w:t>l</w:t>
            </w:r>
            <w:r>
              <w:rPr>
                <w:rFonts w:ascii="Times New Roman" w:hAnsi="Times New Roman" w:eastAsia="Times New Roman" w:cs="Times New Roman"/>
                <w:i/>
                <w:iCs/>
                <w:spacing w:val="-11"/>
                <w:sz w:val="18"/>
                <w:szCs w:val="18"/>
              </w:rPr>
              <w:t xml:space="preserve"> </w:t>
            </w:r>
            <w:r>
              <w:rPr>
                <w:rFonts w:ascii="Times New Roman" w:hAnsi="Times New Roman" w:eastAsia="Times New Roman" w:cs="Times New Roman"/>
                <w:spacing w:val="-2"/>
                <w:position w:val="-1"/>
                <w:sz w:val="14"/>
                <w:szCs w:val="14"/>
              </w:rPr>
              <w:t>0</w:t>
            </w:r>
          </w:p>
        </w:tc>
      </w:tr>
      <w:tr w14:paraId="60361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5682" w:type="dxa"/>
            <w:gridSpan w:val="2"/>
            <w:vAlign w:val="top"/>
          </w:tcPr>
          <w:p w14:paraId="2716C14B">
            <w:pPr>
              <w:pStyle w:val="6"/>
              <w:spacing w:before="109" w:line="215" w:lineRule="auto"/>
              <w:ind w:left="531"/>
            </w:pPr>
            <w:r>
              <w:rPr>
                <w:spacing w:val="-1"/>
              </w:rPr>
              <w:t>单层排架结构（柱距为</w:t>
            </w:r>
            <w:r>
              <w:rPr>
                <w:spacing w:val="-42"/>
              </w:rPr>
              <w:t xml:space="preserve"> </w:t>
            </w:r>
            <w:r>
              <w:rPr>
                <w:rFonts w:ascii="Times New Roman" w:hAnsi="Times New Roman" w:eastAsia="Times New Roman" w:cs="Times New Roman"/>
                <w:spacing w:val="-1"/>
              </w:rPr>
              <w:t>6m</w:t>
            </w:r>
            <w:r>
              <w:rPr>
                <w:spacing w:val="-1"/>
              </w:rPr>
              <w:t>）桩基的沉降量（</w:t>
            </w:r>
            <w:r>
              <w:rPr>
                <w:rFonts w:ascii="Times New Roman" w:hAnsi="Times New Roman" w:eastAsia="Times New Roman" w:cs="Times New Roman"/>
                <w:spacing w:val="-1"/>
              </w:rPr>
              <w:t>mm</w:t>
            </w:r>
            <w:r>
              <w:rPr>
                <w:spacing w:val="-1"/>
              </w:rPr>
              <w:t>）</w:t>
            </w:r>
          </w:p>
        </w:tc>
        <w:tc>
          <w:tcPr>
            <w:tcW w:w="2844" w:type="dxa"/>
            <w:vAlign w:val="top"/>
          </w:tcPr>
          <w:p w14:paraId="12C564F7">
            <w:pPr>
              <w:spacing w:before="147" w:line="186" w:lineRule="auto"/>
              <w:ind w:left="1286"/>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120</w:t>
            </w:r>
          </w:p>
        </w:tc>
      </w:tr>
      <w:tr w14:paraId="7F721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5682" w:type="dxa"/>
            <w:gridSpan w:val="2"/>
            <w:vAlign w:val="top"/>
          </w:tcPr>
          <w:p w14:paraId="643D1744">
            <w:pPr>
              <w:pStyle w:val="6"/>
              <w:spacing w:before="109" w:line="219" w:lineRule="auto"/>
              <w:ind w:left="852"/>
            </w:pPr>
            <w:r>
              <w:rPr>
                <w:spacing w:val="-2"/>
              </w:rPr>
              <w:t>桥式吊车轨面的倾斜（按不调整轨道考虑）</w:t>
            </w:r>
          </w:p>
          <w:p w14:paraId="6622EA2E">
            <w:pPr>
              <w:pStyle w:val="6"/>
              <w:spacing w:before="111" w:line="221" w:lineRule="auto"/>
              <w:ind w:left="2641"/>
            </w:pPr>
            <w:r>
              <w:rPr>
                <w:spacing w:val="-3"/>
              </w:rPr>
              <w:t>纵向</w:t>
            </w:r>
          </w:p>
          <w:p w14:paraId="4532A797">
            <w:pPr>
              <w:pStyle w:val="6"/>
              <w:spacing w:before="108" w:line="215" w:lineRule="auto"/>
              <w:ind w:left="2637"/>
            </w:pPr>
            <w:r>
              <w:rPr>
                <w:spacing w:val="-2"/>
              </w:rPr>
              <w:t>横向</w:t>
            </w:r>
          </w:p>
        </w:tc>
        <w:tc>
          <w:tcPr>
            <w:tcW w:w="2844" w:type="dxa"/>
            <w:vAlign w:val="top"/>
          </w:tcPr>
          <w:p w14:paraId="7A9343BC">
            <w:pPr>
              <w:spacing w:line="445" w:lineRule="auto"/>
              <w:rPr>
                <w:rFonts w:ascii="Arial"/>
                <w:sz w:val="21"/>
              </w:rPr>
            </w:pPr>
          </w:p>
          <w:p w14:paraId="13F24C73">
            <w:pPr>
              <w:spacing w:before="60" w:line="186" w:lineRule="auto"/>
              <w:ind w:left="11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w:t>
            </w:r>
          </w:p>
          <w:p w14:paraId="37AEA2E1">
            <w:pPr>
              <w:spacing w:before="172" w:line="186" w:lineRule="auto"/>
              <w:ind w:left="11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0.003</w:t>
            </w:r>
          </w:p>
        </w:tc>
      </w:tr>
      <w:tr w14:paraId="38941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2843" w:type="dxa"/>
            <w:vAlign w:val="top"/>
          </w:tcPr>
          <w:p w14:paraId="64C24495">
            <w:pPr>
              <w:spacing w:line="289" w:lineRule="auto"/>
              <w:rPr>
                <w:rFonts w:ascii="Arial"/>
                <w:sz w:val="21"/>
              </w:rPr>
            </w:pPr>
          </w:p>
          <w:p w14:paraId="60BBE563">
            <w:pPr>
              <w:spacing w:line="290" w:lineRule="auto"/>
              <w:rPr>
                <w:rFonts w:ascii="Arial"/>
                <w:sz w:val="21"/>
              </w:rPr>
            </w:pPr>
          </w:p>
          <w:p w14:paraId="1F27A9FD">
            <w:pPr>
              <w:pStyle w:val="6"/>
              <w:spacing w:before="68" w:line="220" w:lineRule="auto"/>
              <w:ind w:left="177"/>
            </w:pPr>
            <w:r>
              <w:rPr>
                <w:spacing w:val="-2"/>
              </w:rPr>
              <w:t>多层和高层建筑的整体倾斜</w:t>
            </w:r>
          </w:p>
        </w:tc>
        <w:tc>
          <w:tcPr>
            <w:tcW w:w="2839" w:type="dxa"/>
            <w:vAlign w:val="top"/>
          </w:tcPr>
          <w:p w14:paraId="4C829DA2">
            <w:pPr>
              <w:pStyle w:val="6"/>
              <w:spacing w:before="112" w:line="221" w:lineRule="auto"/>
              <w:ind w:left="1099"/>
              <w:rPr>
                <w:rFonts w:ascii="Times New Roman" w:hAnsi="Times New Roman" w:eastAsia="Times New Roman" w:cs="Times New Roman"/>
              </w:rPr>
            </w:pPr>
            <w:r>
              <w:rPr>
                <w:rFonts w:ascii="Times New Roman" w:hAnsi="Times New Roman" w:eastAsia="Times New Roman" w:cs="Times New Roman"/>
                <w:spacing w:val="-6"/>
              </w:rPr>
              <w:t>H</w:t>
            </w:r>
            <w:r>
              <w:rPr>
                <w:rFonts w:ascii="Times New Roman" w:hAnsi="Times New Roman" w:eastAsia="Times New Roman" w:cs="Times New Roman"/>
                <w:spacing w:val="-6"/>
                <w:position w:val="-1"/>
                <w:sz w:val="14"/>
                <w:szCs w:val="14"/>
              </w:rPr>
              <w:t>g</w:t>
            </w:r>
            <w:r>
              <w:rPr>
                <w:rFonts w:ascii="Times New Roman" w:hAnsi="Times New Roman" w:eastAsia="Times New Roman" w:cs="Times New Roman"/>
                <w:spacing w:val="-9"/>
                <w:position w:val="-1"/>
                <w:sz w:val="14"/>
                <w:szCs w:val="14"/>
              </w:rPr>
              <w:t xml:space="preserve"> </w:t>
            </w:r>
            <w:r>
              <w:rPr>
                <w:spacing w:val="-6"/>
              </w:rPr>
              <w:t>≤</w:t>
            </w:r>
            <w:r>
              <w:rPr>
                <w:rFonts w:ascii="Times New Roman" w:hAnsi="Times New Roman" w:eastAsia="Times New Roman" w:cs="Times New Roman"/>
                <w:spacing w:val="-6"/>
              </w:rPr>
              <w:t>24</w:t>
            </w:r>
          </w:p>
          <w:p w14:paraId="5A60D94D">
            <w:pPr>
              <w:pStyle w:val="6"/>
              <w:spacing w:before="108" w:line="221" w:lineRule="auto"/>
              <w:ind w:left="890"/>
              <w:rPr>
                <w:rFonts w:ascii="Times New Roman" w:hAnsi="Times New Roman" w:eastAsia="Times New Roman" w:cs="Times New Roman"/>
              </w:rPr>
            </w:pPr>
            <w:r>
              <w:rPr>
                <w:rFonts w:ascii="Times New Roman" w:hAnsi="Times New Roman" w:eastAsia="Times New Roman" w:cs="Times New Roman"/>
                <w:spacing w:val="-4"/>
              </w:rPr>
              <w:t>24</w:t>
            </w:r>
            <w:r>
              <w:rPr>
                <w:spacing w:val="-4"/>
              </w:rPr>
              <w:t>＜</w:t>
            </w:r>
            <w:r>
              <w:rPr>
                <w:rFonts w:ascii="Times New Roman" w:hAnsi="Times New Roman" w:eastAsia="Times New Roman" w:cs="Times New Roman"/>
                <w:spacing w:val="-4"/>
              </w:rPr>
              <w:t>H</w:t>
            </w:r>
            <w:r>
              <w:rPr>
                <w:rFonts w:ascii="Times New Roman" w:hAnsi="Times New Roman" w:eastAsia="Times New Roman" w:cs="Times New Roman"/>
                <w:spacing w:val="-4"/>
                <w:position w:val="-1"/>
                <w:sz w:val="14"/>
                <w:szCs w:val="14"/>
              </w:rPr>
              <w:t>g</w:t>
            </w:r>
            <w:r>
              <w:rPr>
                <w:rFonts w:ascii="Times New Roman" w:hAnsi="Times New Roman" w:eastAsia="Times New Roman" w:cs="Times New Roman"/>
                <w:spacing w:val="-8"/>
                <w:position w:val="-1"/>
                <w:sz w:val="14"/>
                <w:szCs w:val="14"/>
              </w:rPr>
              <w:t xml:space="preserve"> </w:t>
            </w:r>
            <w:r>
              <w:rPr>
                <w:spacing w:val="-4"/>
              </w:rPr>
              <w:t>≤</w:t>
            </w:r>
            <w:r>
              <w:rPr>
                <w:rFonts w:ascii="Times New Roman" w:hAnsi="Times New Roman" w:eastAsia="Times New Roman" w:cs="Times New Roman"/>
                <w:spacing w:val="-4"/>
              </w:rPr>
              <w:t>60</w:t>
            </w:r>
          </w:p>
          <w:p w14:paraId="0824F3A8">
            <w:pPr>
              <w:pStyle w:val="6"/>
              <w:spacing w:before="108" w:line="221" w:lineRule="auto"/>
              <w:ind w:left="843"/>
              <w:rPr>
                <w:rFonts w:ascii="Times New Roman" w:hAnsi="Times New Roman" w:eastAsia="Times New Roman" w:cs="Times New Roman"/>
              </w:rPr>
            </w:pPr>
            <w:r>
              <w:rPr>
                <w:rFonts w:ascii="Times New Roman" w:hAnsi="Times New Roman" w:eastAsia="Times New Roman" w:cs="Times New Roman"/>
                <w:spacing w:val="-4"/>
              </w:rPr>
              <w:t>60</w:t>
            </w:r>
            <w:r>
              <w:rPr>
                <w:spacing w:val="-4"/>
              </w:rPr>
              <w:t>＜</w:t>
            </w:r>
            <w:r>
              <w:rPr>
                <w:rFonts w:ascii="Times New Roman" w:hAnsi="Times New Roman" w:eastAsia="Times New Roman" w:cs="Times New Roman"/>
                <w:spacing w:val="-4"/>
              </w:rPr>
              <w:t>H</w:t>
            </w:r>
            <w:r>
              <w:rPr>
                <w:rFonts w:ascii="Times New Roman" w:hAnsi="Times New Roman" w:eastAsia="Times New Roman" w:cs="Times New Roman"/>
                <w:spacing w:val="-4"/>
                <w:position w:val="-1"/>
                <w:sz w:val="14"/>
                <w:szCs w:val="14"/>
              </w:rPr>
              <w:t>g</w:t>
            </w:r>
            <w:r>
              <w:rPr>
                <w:rFonts w:ascii="Times New Roman" w:hAnsi="Times New Roman" w:eastAsia="Times New Roman" w:cs="Times New Roman"/>
                <w:spacing w:val="-9"/>
                <w:position w:val="-1"/>
                <w:sz w:val="14"/>
                <w:szCs w:val="14"/>
              </w:rPr>
              <w:t xml:space="preserve"> </w:t>
            </w:r>
            <w:r>
              <w:rPr>
                <w:spacing w:val="-4"/>
              </w:rPr>
              <w:t>≤</w:t>
            </w:r>
            <w:r>
              <w:rPr>
                <w:rFonts w:ascii="Times New Roman" w:hAnsi="Times New Roman" w:eastAsia="Times New Roman" w:cs="Times New Roman"/>
                <w:spacing w:val="-4"/>
              </w:rPr>
              <w:t>100</w:t>
            </w:r>
          </w:p>
          <w:p w14:paraId="6DAC0973">
            <w:pPr>
              <w:pStyle w:val="6"/>
              <w:spacing w:before="108" w:line="214" w:lineRule="auto"/>
              <w:ind w:left="1048"/>
              <w:rPr>
                <w:rFonts w:ascii="Times New Roman" w:hAnsi="Times New Roman" w:eastAsia="Times New Roman" w:cs="Times New Roman"/>
              </w:rPr>
            </w:pPr>
            <w:r>
              <w:rPr>
                <w:rFonts w:ascii="Times New Roman" w:hAnsi="Times New Roman" w:eastAsia="Times New Roman" w:cs="Times New Roman"/>
                <w:spacing w:val="-1"/>
              </w:rPr>
              <w:t>H</w:t>
            </w:r>
            <w:r>
              <w:rPr>
                <w:rFonts w:ascii="Times New Roman" w:hAnsi="Times New Roman" w:eastAsia="Times New Roman" w:cs="Times New Roman"/>
                <w:spacing w:val="-1"/>
                <w:position w:val="-1"/>
                <w:sz w:val="14"/>
                <w:szCs w:val="14"/>
              </w:rPr>
              <w:t>g</w:t>
            </w:r>
            <w:r>
              <w:rPr>
                <w:spacing w:val="-1"/>
              </w:rPr>
              <w:t>＞</w:t>
            </w:r>
            <w:r>
              <w:rPr>
                <w:rFonts w:ascii="Times New Roman" w:hAnsi="Times New Roman" w:eastAsia="Times New Roman" w:cs="Times New Roman"/>
                <w:spacing w:val="-1"/>
              </w:rPr>
              <w:t>100</w:t>
            </w:r>
          </w:p>
        </w:tc>
        <w:tc>
          <w:tcPr>
            <w:tcW w:w="2844" w:type="dxa"/>
            <w:vAlign w:val="top"/>
          </w:tcPr>
          <w:p w14:paraId="722F5333">
            <w:pPr>
              <w:spacing w:before="148" w:line="301" w:lineRule="auto"/>
              <w:ind w:left="1137" w:right="1131" w:firstLine="5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0.004</w:t>
            </w:r>
            <w:r>
              <w:rPr>
                <w:rFonts w:ascii="Times New Roman" w:hAnsi="Times New Roman" w:eastAsia="Times New Roman" w:cs="Times New Roman"/>
                <w:spacing w:val="1"/>
                <w:sz w:val="21"/>
                <w:szCs w:val="21"/>
              </w:rPr>
              <w:t xml:space="preserve">  </w:t>
            </w:r>
            <w:r>
              <w:rPr>
                <w:rFonts w:ascii="Times New Roman" w:hAnsi="Times New Roman" w:eastAsia="Times New Roman" w:cs="Times New Roman"/>
                <w:spacing w:val="9"/>
                <w:sz w:val="21"/>
                <w:szCs w:val="21"/>
              </w:rPr>
              <w:t>0.003</w:t>
            </w:r>
            <w:r>
              <w:rPr>
                <w:rFonts w:ascii="Times New Roman" w:hAnsi="Times New Roman" w:eastAsia="Times New Roman" w:cs="Times New Roman"/>
                <w:sz w:val="21"/>
                <w:szCs w:val="21"/>
              </w:rPr>
              <w:t xml:space="preserve">  </w:t>
            </w:r>
            <w:r>
              <w:rPr>
                <w:rFonts w:ascii="Times New Roman" w:hAnsi="Times New Roman" w:eastAsia="Times New Roman" w:cs="Times New Roman"/>
                <w:spacing w:val="-2"/>
                <w:sz w:val="21"/>
                <w:szCs w:val="21"/>
              </w:rPr>
              <w:t>0.0025</w:t>
            </w:r>
          </w:p>
          <w:p w14:paraId="2AA31F35">
            <w:pPr>
              <w:spacing w:before="172" w:line="186" w:lineRule="auto"/>
              <w:ind w:left="11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0.002</w:t>
            </w:r>
          </w:p>
        </w:tc>
      </w:tr>
      <w:tr w14:paraId="00658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2843" w:type="dxa"/>
            <w:vAlign w:val="top"/>
          </w:tcPr>
          <w:p w14:paraId="214D9B6E">
            <w:pPr>
              <w:spacing w:line="312" w:lineRule="auto"/>
              <w:rPr>
                <w:rFonts w:ascii="Arial"/>
                <w:sz w:val="21"/>
              </w:rPr>
            </w:pPr>
          </w:p>
          <w:p w14:paraId="3C43DAC4">
            <w:pPr>
              <w:spacing w:line="312" w:lineRule="auto"/>
              <w:rPr>
                <w:rFonts w:ascii="Arial"/>
                <w:sz w:val="21"/>
              </w:rPr>
            </w:pPr>
          </w:p>
          <w:p w14:paraId="389B98E1">
            <w:pPr>
              <w:spacing w:line="312" w:lineRule="auto"/>
              <w:rPr>
                <w:rFonts w:ascii="Arial"/>
                <w:sz w:val="21"/>
              </w:rPr>
            </w:pPr>
          </w:p>
          <w:p w14:paraId="3034F15C">
            <w:pPr>
              <w:pStyle w:val="6"/>
              <w:spacing w:before="68" w:line="220" w:lineRule="auto"/>
              <w:ind w:left="278"/>
            </w:pPr>
            <w:r>
              <w:rPr>
                <w:spacing w:val="-2"/>
              </w:rPr>
              <w:t>高耸结构桩基的整体倾斜</w:t>
            </w:r>
          </w:p>
        </w:tc>
        <w:tc>
          <w:tcPr>
            <w:tcW w:w="2839" w:type="dxa"/>
            <w:vAlign w:val="top"/>
          </w:tcPr>
          <w:p w14:paraId="091DC550">
            <w:pPr>
              <w:pStyle w:val="6"/>
              <w:spacing w:before="111" w:line="221" w:lineRule="auto"/>
              <w:ind w:left="1099"/>
              <w:rPr>
                <w:rFonts w:ascii="Times New Roman" w:hAnsi="Times New Roman" w:eastAsia="Times New Roman" w:cs="Times New Roman"/>
              </w:rPr>
            </w:pPr>
            <w:r>
              <w:rPr>
                <w:rFonts w:ascii="Times New Roman" w:hAnsi="Times New Roman" w:eastAsia="Times New Roman" w:cs="Times New Roman"/>
                <w:spacing w:val="-6"/>
              </w:rPr>
              <w:t>H</w:t>
            </w:r>
            <w:r>
              <w:rPr>
                <w:rFonts w:ascii="Times New Roman" w:hAnsi="Times New Roman" w:eastAsia="Times New Roman" w:cs="Times New Roman"/>
                <w:spacing w:val="-6"/>
                <w:position w:val="-1"/>
                <w:sz w:val="14"/>
                <w:szCs w:val="14"/>
              </w:rPr>
              <w:t>g</w:t>
            </w:r>
            <w:r>
              <w:rPr>
                <w:rFonts w:ascii="Times New Roman" w:hAnsi="Times New Roman" w:eastAsia="Times New Roman" w:cs="Times New Roman"/>
                <w:spacing w:val="-9"/>
                <w:position w:val="-1"/>
                <w:sz w:val="14"/>
                <w:szCs w:val="14"/>
              </w:rPr>
              <w:t xml:space="preserve"> </w:t>
            </w:r>
            <w:r>
              <w:rPr>
                <w:spacing w:val="-6"/>
              </w:rPr>
              <w:t>≤</w:t>
            </w:r>
            <w:r>
              <w:rPr>
                <w:rFonts w:ascii="Times New Roman" w:hAnsi="Times New Roman" w:eastAsia="Times New Roman" w:cs="Times New Roman"/>
                <w:spacing w:val="-6"/>
              </w:rPr>
              <w:t>20</w:t>
            </w:r>
          </w:p>
          <w:p w14:paraId="74AF32B7">
            <w:pPr>
              <w:pStyle w:val="6"/>
              <w:spacing w:before="109" w:line="311" w:lineRule="auto"/>
              <w:ind w:left="806" w:right="780" w:firstLine="84"/>
              <w:rPr>
                <w:rFonts w:ascii="Times New Roman" w:hAnsi="Times New Roman" w:eastAsia="Times New Roman" w:cs="Times New Roman"/>
              </w:rPr>
            </w:pPr>
            <w:r>
              <w:rPr>
                <w:rFonts w:ascii="Times New Roman" w:hAnsi="Times New Roman" w:eastAsia="Times New Roman" w:cs="Times New Roman"/>
                <w:spacing w:val="-4"/>
              </w:rPr>
              <w:t>20</w:t>
            </w:r>
            <w:r>
              <w:rPr>
                <w:spacing w:val="-4"/>
              </w:rPr>
              <w:t>＜</w:t>
            </w:r>
            <w:r>
              <w:rPr>
                <w:rFonts w:ascii="Times New Roman" w:hAnsi="Times New Roman" w:eastAsia="Times New Roman" w:cs="Times New Roman"/>
                <w:spacing w:val="-4"/>
              </w:rPr>
              <w:t>H</w:t>
            </w:r>
            <w:r>
              <w:rPr>
                <w:rFonts w:ascii="Times New Roman" w:hAnsi="Times New Roman" w:eastAsia="Times New Roman" w:cs="Times New Roman"/>
                <w:spacing w:val="-4"/>
                <w:position w:val="-1"/>
                <w:sz w:val="14"/>
                <w:szCs w:val="14"/>
              </w:rPr>
              <w:t>g</w:t>
            </w:r>
            <w:r>
              <w:rPr>
                <w:rFonts w:ascii="Times New Roman" w:hAnsi="Times New Roman" w:eastAsia="Times New Roman" w:cs="Times New Roman"/>
                <w:spacing w:val="-8"/>
                <w:position w:val="-1"/>
                <w:sz w:val="14"/>
                <w:szCs w:val="14"/>
              </w:rPr>
              <w:t xml:space="preserve"> </w:t>
            </w:r>
            <w:r>
              <w:rPr>
                <w:spacing w:val="-4"/>
              </w:rPr>
              <w:t>≤</w:t>
            </w:r>
            <w:r>
              <w:rPr>
                <w:rFonts w:ascii="Times New Roman" w:hAnsi="Times New Roman" w:eastAsia="Times New Roman" w:cs="Times New Roman"/>
                <w:spacing w:val="-4"/>
              </w:rPr>
              <w:t>50</w:t>
            </w:r>
            <w:r>
              <w:rPr>
                <w:rFonts w:ascii="Times New Roman" w:hAnsi="Times New Roman" w:eastAsia="Times New Roman" w:cs="Times New Roman"/>
              </w:rPr>
              <w:t xml:space="preserve">   50</w:t>
            </w:r>
            <w:r>
              <w:t>＜</w:t>
            </w:r>
            <w:r>
              <w:rPr>
                <w:rFonts w:ascii="Times New Roman" w:hAnsi="Times New Roman" w:eastAsia="Times New Roman" w:cs="Times New Roman"/>
              </w:rPr>
              <w:t>H</w:t>
            </w:r>
            <w:r>
              <w:rPr>
                <w:rFonts w:ascii="Times New Roman" w:hAnsi="Times New Roman" w:eastAsia="Times New Roman" w:cs="Times New Roman"/>
                <w:position w:val="-1"/>
                <w:sz w:val="14"/>
                <w:szCs w:val="14"/>
              </w:rPr>
              <w:t>g</w:t>
            </w:r>
            <w:r>
              <w:rPr>
                <w:rFonts w:ascii="Times New Roman" w:hAnsi="Times New Roman" w:eastAsia="Times New Roman" w:cs="Times New Roman"/>
                <w:spacing w:val="-8"/>
                <w:position w:val="-1"/>
                <w:sz w:val="14"/>
                <w:szCs w:val="14"/>
              </w:rPr>
              <w:t xml:space="preserve"> </w:t>
            </w:r>
            <w:r>
              <w:t>≤</w:t>
            </w:r>
            <w:r>
              <w:rPr>
                <w:rFonts w:ascii="Times New Roman" w:hAnsi="Times New Roman" w:eastAsia="Times New Roman" w:cs="Times New Roman"/>
              </w:rPr>
              <w:t xml:space="preserve">100  </w:t>
            </w:r>
            <w:r>
              <w:rPr>
                <w:rFonts w:ascii="Times New Roman" w:hAnsi="Times New Roman" w:eastAsia="Times New Roman" w:cs="Times New Roman"/>
                <w:spacing w:val="-5"/>
              </w:rPr>
              <w:t>100</w:t>
            </w:r>
            <w:r>
              <w:rPr>
                <w:spacing w:val="-5"/>
              </w:rPr>
              <w:t>＜</w:t>
            </w:r>
            <w:r>
              <w:rPr>
                <w:rFonts w:ascii="Times New Roman" w:hAnsi="Times New Roman" w:eastAsia="Times New Roman" w:cs="Times New Roman"/>
                <w:spacing w:val="-5"/>
              </w:rPr>
              <w:t>H</w:t>
            </w:r>
            <w:r>
              <w:rPr>
                <w:rFonts w:ascii="Times New Roman" w:hAnsi="Times New Roman" w:eastAsia="Times New Roman" w:cs="Times New Roman"/>
                <w:spacing w:val="-5"/>
                <w:position w:val="-1"/>
                <w:sz w:val="14"/>
                <w:szCs w:val="14"/>
              </w:rPr>
              <w:t>g</w:t>
            </w:r>
            <w:r>
              <w:rPr>
                <w:rFonts w:ascii="Times New Roman" w:hAnsi="Times New Roman" w:eastAsia="Times New Roman" w:cs="Times New Roman"/>
                <w:spacing w:val="-11"/>
                <w:position w:val="-1"/>
                <w:sz w:val="14"/>
                <w:szCs w:val="14"/>
              </w:rPr>
              <w:t xml:space="preserve"> </w:t>
            </w:r>
            <w:r>
              <w:rPr>
                <w:spacing w:val="-5"/>
              </w:rPr>
              <w:t>≤</w:t>
            </w:r>
            <w:r>
              <w:rPr>
                <w:rFonts w:ascii="Times New Roman" w:hAnsi="Times New Roman" w:eastAsia="Times New Roman" w:cs="Times New Roman"/>
                <w:spacing w:val="-5"/>
              </w:rPr>
              <w:t>150</w:t>
            </w:r>
          </w:p>
          <w:p w14:paraId="61B3363A">
            <w:pPr>
              <w:pStyle w:val="6"/>
              <w:spacing w:before="17" w:line="265" w:lineRule="auto"/>
              <w:ind w:left="786" w:right="780" w:firstLine="20"/>
              <w:rPr>
                <w:rFonts w:ascii="Times New Roman" w:hAnsi="Times New Roman" w:eastAsia="Times New Roman" w:cs="Times New Roman"/>
              </w:rPr>
            </w:pPr>
            <w:r>
              <w:rPr>
                <w:rFonts w:ascii="Times New Roman" w:hAnsi="Times New Roman" w:eastAsia="Times New Roman" w:cs="Times New Roman"/>
                <w:spacing w:val="-5"/>
              </w:rPr>
              <w:t>150</w:t>
            </w:r>
            <w:r>
              <w:rPr>
                <w:spacing w:val="-5"/>
              </w:rPr>
              <w:t>＜</w:t>
            </w:r>
            <w:r>
              <w:rPr>
                <w:rFonts w:ascii="Times New Roman" w:hAnsi="Times New Roman" w:eastAsia="Times New Roman" w:cs="Times New Roman"/>
                <w:spacing w:val="-5"/>
              </w:rPr>
              <w:t>H</w:t>
            </w:r>
            <w:r>
              <w:rPr>
                <w:rFonts w:ascii="Times New Roman" w:hAnsi="Times New Roman" w:eastAsia="Times New Roman" w:cs="Times New Roman"/>
                <w:spacing w:val="-5"/>
                <w:position w:val="-1"/>
                <w:sz w:val="14"/>
                <w:szCs w:val="14"/>
              </w:rPr>
              <w:t>g</w:t>
            </w:r>
            <w:r>
              <w:rPr>
                <w:rFonts w:ascii="Times New Roman" w:hAnsi="Times New Roman" w:eastAsia="Times New Roman" w:cs="Times New Roman"/>
                <w:spacing w:val="-11"/>
                <w:position w:val="-1"/>
                <w:sz w:val="14"/>
                <w:szCs w:val="14"/>
              </w:rPr>
              <w:t xml:space="preserve"> </w:t>
            </w:r>
            <w:r>
              <w:rPr>
                <w:spacing w:val="-5"/>
              </w:rPr>
              <w:t>≤</w:t>
            </w:r>
            <w:r>
              <w:rPr>
                <w:rFonts w:ascii="Times New Roman" w:hAnsi="Times New Roman" w:eastAsia="Times New Roman" w:cs="Times New Roman"/>
                <w:spacing w:val="-5"/>
              </w:rPr>
              <w:t>200</w:t>
            </w:r>
            <w:r>
              <w:rPr>
                <w:rFonts w:ascii="Times New Roman" w:hAnsi="Times New Roman" w:eastAsia="Times New Roman" w:cs="Times New Roman"/>
              </w:rPr>
              <w:t xml:space="preserve"> </w:t>
            </w:r>
            <w:r>
              <w:rPr>
                <w:rFonts w:ascii="Times New Roman" w:hAnsi="Times New Roman" w:eastAsia="Times New Roman" w:cs="Times New Roman"/>
                <w:spacing w:val="-3"/>
              </w:rPr>
              <w:t>200</w:t>
            </w:r>
            <w:r>
              <w:rPr>
                <w:spacing w:val="-3"/>
              </w:rPr>
              <w:t>＜</w:t>
            </w:r>
            <w:r>
              <w:rPr>
                <w:rFonts w:ascii="Times New Roman" w:hAnsi="Times New Roman" w:eastAsia="Times New Roman" w:cs="Times New Roman"/>
                <w:spacing w:val="-3"/>
              </w:rPr>
              <w:t>H</w:t>
            </w:r>
            <w:r>
              <w:rPr>
                <w:rFonts w:ascii="Times New Roman" w:hAnsi="Times New Roman" w:eastAsia="Times New Roman" w:cs="Times New Roman"/>
                <w:spacing w:val="-3"/>
                <w:position w:val="-1"/>
                <w:sz w:val="14"/>
                <w:szCs w:val="14"/>
              </w:rPr>
              <w:t>g</w:t>
            </w:r>
            <w:r>
              <w:rPr>
                <w:rFonts w:ascii="Times New Roman" w:hAnsi="Times New Roman" w:eastAsia="Times New Roman" w:cs="Times New Roman"/>
                <w:spacing w:val="-11"/>
                <w:position w:val="-1"/>
                <w:sz w:val="14"/>
                <w:szCs w:val="14"/>
              </w:rPr>
              <w:t xml:space="preserve"> </w:t>
            </w:r>
            <w:r>
              <w:rPr>
                <w:spacing w:val="-3"/>
              </w:rPr>
              <w:t>≤</w:t>
            </w:r>
            <w:r>
              <w:rPr>
                <w:rFonts w:ascii="Times New Roman" w:hAnsi="Times New Roman" w:eastAsia="Times New Roman" w:cs="Times New Roman"/>
                <w:spacing w:val="-3"/>
              </w:rPr>
              <w:t>250</w:t>
            </w:r>
          </w:p>
        </w:tc>
        <w:tc>
          <w:tcPr>
            <w:tcW w:w="2844" w:type="dxa"/>
            <w:vAlign w:val="top"/>
          </w:tcPr>
          <w:p w14:paraId="7363DFFC">
            <w:pPr>
              <w:spacing w:before="151" w:line="323" w:lineRule="auto"/>
              <w:ind w:left="1190" w:right="11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0.008</w:t>
            </w:r>
            <w:r>
              <w:rPr>
                <w:rFonts w:ascii="Times New Roman" w:hAnsi="Times New Roman" w:eastAsia="Times New Roman" w:cs="Times New Roman"/>
                <w:spacing w:val="2"/>
                <w:sz w:val="21"/>
                <w:szCs w:val="21"/>
              </w:rPr>
              <w:t xml:space="preserve"> </w:t>
            </w:r>
            <w:r>
              <w:rPr>
                <w:rFonts w:ascii="Times New Roman" w:hAnsi="Times New Roman" w:eastAsia="Times New Roman" w:cs="Times New Roman"/>
                <w:spacing w:val="-2"/>
                <w:sz w:val="21"/>
                <w:szCs w:val="21"/>
              </w:rPr>
              <w:t>0.006</w:t>
            </w:r>
            <w:r>
              <w:rPr>
                <w:rFonts w:ascii="Times New Roman" w:hAnsi="Times New Roman" w:eastAsia="Times New Roman" w:cs="Times New Roman"/>
                <w:spacing w:val="2"/>
                <w:sz w:val="21"/>
                <w:szCs w:val="21"/>
              </w:rPr>
              <w:t xml:space="preserve"> </w:t>
            </w:r>
            <w:r>
              <w:rPr>
                <w:rFonts w:ascii="Times New Roman" w:hAnsi="Times New Roman" w:eastAsia="Times New Roman" w:cs="Times New Roman"/>
                <w:spacing w:val="-2"/>
                <w:sz w:val="21"/>
                <w:szCs w:val="21"/>
              </w:rPr>
              <w:t>0.005</w:t>
            </w:r>
            <w:r>
              <w:rPr>
                <w:rFonts w:ascii="Times New Roman" w:hAnsi="Times New Roman" w:eastAsia="Times New Roman" w:cs="Times New Roman"/>
                <w:spacing w:val="2"/>
                <w:sz w:val="21"/>
                <w:szCs w:val="21"/>
              </w:rPr>
              <w:t xml:space="preserve"> </w:t>
            </w:r>
            <w:r>
              <w:rPr>
                <w:rFonts w:ascii="Times New Roman" w:hAnsi="Times New Roman" w:eastAsia="Times New Roman" w:cs="Times New Roman"/>
                <w:spacing w:val="-2"/>
                <w:sz w:val="21"/>
                <w:szCs w:val="21"/>
              </w:rPr>
              <w:t>0.004</w:t>
            </w:r>
            <w:r>
              <w:rPr>
                <w:rFonts w:ascii="Times New Roman" w:hAnsi="Times New Roman" w:eastAsia="Times New Roman" w:cs="Times New Roman"/>
                <w:spacing w:val="2"/>
                <w:sz w:val="21"/>
                <w:szCs w:val="21"/>
              </w:rPr>
              <w:t xml:space="preserve"> </w:t>
            </w:r>
            <w:r>
              <w:rPr>
                <w:rFonts w:ascii="Times New Roman" w:hAnsi="Times New Roman" w:eastAsia="Times New Roman" w:cs="Times New Roman"/>
                <w:spacing w:val="-2"/>
                <w:sz w:val="21"/>
                <w:szCs w:val="21"/>
              </w:rPr>
              <w:t>0.003</w:t>
            </w:r>
          </w:p>
          <w:p w14:paraId="42E06341">
            <w:pPr>
              <w:spacing w:before="173" w:line="186" w:lineRule="auto"/>
              <w:ind w:left="11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0.002</w:t>
            </w:r>
          </w:p>
        </w:tc>
      </w:tr>
      <w:tr w14:paraId="2F5C1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843" w:type="dxa"/>
            <w:vAlign w:val="top"/>
          </w:tcPr>
          <w:p w14:paraId="6565F84C">
            <w:pPr>
              <w:pStyle w:val="6"/>
              <w:spacing w:before="291" w:line="220" w:lineRule="auto"/>
              <w:ind w:left="383"/>
            </w:pPr>
            <w:r>
              <w:rPr>
                <w:spacing w:val="-2"/>
              </w:rPr>
              <w:t>高耸结构基础的沉降量</w:t>
            </w:r>
          </w:p>
          <w:p w14:paraId="7FA917A1">
            <w:pPr>
              <w:pStyle w:val="6"/>
              <w:spacing w:before="109" w:line="232" w:lineRule="auto"/>
              <w:ind w:left="1060"/>
            </w:pPr>
            <w:r>
              <w:rPr>
                <w:spacing w:val="-4"/>
              </w:rPr>
              <w:t>（</w:t>
            </w:r>
            <w:r>
              <w:rPr>
                <w:rFonts w:ascii="Times New Roman" w:hAnsi="Times New Roman" w:eastAsia="Times New Roman" w:cs="Times New Roman"/>
                <w:spacing w:val="-4"/>
              </w:rPr>
              <w:t>mm</w:t>
            </w:r>
            <w:r>
              <w:rPr>
                <w:spacing w:val="-4"/>
              </w:rPr>
              <w:t>）</w:t>
            </w:r>
          </w:p>
        </w:tc>
        <w:tc>
          <w:tcPr>
            <w:tcW w:w="2839" w:type="dxa"/>
            <w:vAlign w:val="top"/>
          </w:tcPr>
          <w:p w14:paraId="7EE597C3">
            <w:pPr>
              <w:pStyle w:val="6"/>
              <w:spacing w:before="112" w:line="221" w:lineRule="auto"/>
              <w:ind w:left="1048"/>
              <w:rPr>
                <w:rFonts w:ascii="Times New Roman" w:hAnsi="Times New Roman" w:eastAsia="Times New Roman" w:cs="Times New Roman"/>
              </w:rPr>
            </w:pPr>
            <w:r>
              <w:rPr>
                <w:rFonts w:ascii="Times New Roman" w:hAnsi="Times New Roman" w:eastAsia="Times New Roman" w:cs="Times New Roman"/>
                <w:spacing w:val="-5"/>
              </w:rPr>
              <w:t>H</w:t>
            </w:r>
            <w:r>
              <w:rPr>
                <w:rFonts w:ascii="Times New Roman" w:hAnsi="Times New Roman" w:eastAsia="Times New Roman" w:cs="Times New Roman"/>
                <w:spacing w:val="-5"/>
                <w:position w:val="-1"/>
                <w:sz w:val="14"/>
                <w:szCs w:val="14"/>
              </w:rPr>
              <w:t>g</w:t>
            </w:r>
            <w:r>
              <w:rPr>
                <w:rFonts w:ascii="Times New Roman" w:hAnsi="Times New Roman" w:eastAsia="Times New Roman" w:cs="Times New Roman"/>
                <w:spacing w:val="-10"/>
                <w:position w:val="-1"/>
                <w:sz w:val="14"/>
                <w:szCs w:val="14"/>
              </w:rPr>
              <w:t xml:space="preserve"> </w:t>
            </w:r>
            <w:r>
              <w:rPr>
                <w:spacing w:val="-5"/>
              </w:rPr>
              <w:t>≤</w:t>
            </w:r>
            <w:r>
              <w:rPr>
                <w:rFonts w:ascii="Times New Roman" w:hAnsi="Times New Roman" w:eastAsia="Times New Roman" w:cs="Times New Roman"/>
                <w:spacing w:val="-5"/>
              </w:rPr>
              <w:t>100</w:t>
            </w:r>
          </w:p>
          <w:p w14:paraId="77D97761">
            <w:pPr>
              <w:pStyle w:val="6"/>
              <w:spacing w:before="107" w:line="265" w:lineRule="auto"/>
              <w:ind w:left="786" w:right="780" w:firstLine="20"/>
              <w:rPr>
                <w:rFonts w:ascii="Times New Roman" w:hAnsi="Times New Roman" w:eastAsia="Times New Roman" w:cs="Times New Roman"/>
              </w:rPr>
            </w:pPr>
            <w:r>
              <w:rPr>
                <w:rFonts w:ascii="Times New Roman" w:hAnsi="Times New Roman" w:eastAsia="Times New Roman" w:cs="Times New Roman"/>
                <w:spacing w:val="-5"/>
              </w:rPr>
              <w:t>100</w:t>
            </w:r>
            <w:r>
              <w:rPr>
                <w:spacing w:val="-5"/>
              </w:rPr>
              <w:t>＜</w:t>
            </w:r>
            <w:r>
              <w:rPr>
                <w:rFonts w:ascii="Times New Roman" w:hAnsi="Times New Roman" w:eastAsia="Times New Roman" w:cs="Times New Roman"/>
                <w:spacing w:val="-5"/>
              </w:rPr>
              <w:t>H</w:t>
            </w:r>
            <w:r>
              <w:rPr>
                <w:rFonts w:ascii="Times New Roman" w:hAnsi="Times New Roman" w:eastAsia="Times New Roman" w:cs="Times New Roman"/>
                <w:spacing w:val="-5"/>
                <w:position w:val="-1"/>
                <w:sz w:val="14"/>
                <w:szCs w:val="14"/>
              </w:rPr>
              <w:t>g</w:t>
            </w:r>
            <w:r>
              <w:rPr>
                <w:rFonts w:ascii="Times New Roman" w:hAnsi="Times New Roman" w:eastAsia="Times New Roman" w:cs="Times New Roman"/>
                <w:spacing w:val="-11"/>
                <w:position w:val="-1"/>
                <w:sz w:val="14"/>
                <w:szCs w:val="14"/>
              </w:rPr>
              <w:t xml:space="preserve"> </w:t>
            </w:r>
            <w:r>
              <w:rPr>
                <w:spacing w:val="-5"/>
              </w:rPr>
              <w:t>≤</w:t>
            </w:r>
            <w:r>
              <w:rPr>
                <w:rFonts w:ascii="Times New Roman" w:hAnsi="Times New Roman" w:eastAsia="Times New Roman" w:cs="Times New Roman"/>
                <w:spacing w:val="-5"/>
              </w:rPr>
              <w:t>200</w:t>
            </w:r>
            <w:r>
              <w:rPr>
                <w:rFonts w:ascii="Times New Roman" w:hAnsi="Times New Roman" w:eastAsia="Times New Roman" w:cs="Times New Roman"/>
              </w:rPr>
              <w:t xml:space="preserve"> </w:t>
            </w:r>
            <w:r>
              <w:rPr>
                <w:rFonts w:ascii="Times New Roman" w:hAnsi="Times New Roman" w:eastAsia="Times New Roman" w:cs="Times New Roman"/>
                <w:spacing w:val="-3"/>
              </w:rPr>
              <w:t>200</w:t>
            </w:r>
            <w:r>
              <w:rPr>
                <w:spacing w:val="-3"/>
              </w:rPr>
              <w:t>＜</w:t>
            </w:r>
            <w:r>
              <w:rPr>
                <w:rFonts w:ascii="Times New Roman" w:hAnsi="Times New Roman" w:eastAsia="Times New Roman" w:cs="Times New Roman"/>
                <w:spacing w:val="-3"/>
              </w:rPr>
              <w:t>H</w:t>
            </w:r>
            <w:r>
              <w:rPr>
                <w:rFonts w:ascii="Times New Roman" w:hAnsi="Times New Roman" w:eastAsia="Times New Roman" w:cs="Times New Roman"/>
                <w:spacing w:val="-3"/>
                <w:position w:val="-1"/>
                <w:sz w:val="14"/>
                <w:szCs w:val="14"/>
              </w:rPr>
              <w:t>g</w:t>
            </w:r>
            <w:r>
              <w:rPr>
                <w:rFonts w:ascii="Times New Roman" w:hAnsi="Times New Roman" w:eastAsia="Times New Roman" w:cs="Times New Roman"/>
                <w:spacing w:val="-11"/>
                <w:position w:val="-1"/>
                <w:sz w:val="14"/>
                <w:szCs w:val="14"/>
              </w:rPr>
              <w:t xml:space="preserve"> </w:t>
            </w:r>
            <w:r>
              <w:rPr>
                <w:spacing w:val="-3"/>
              </w:rPr>
              <w:t>≤</w:t>
            </w:r>
            <w:r>
              <w:rPr>
                <w:rFonts w:ascii="Times New Roman" w:hAnsi="Times New Roman" w:eastAsia="Times New Roman" w:cs="Times New Roman"/>
                <w:spacing w:val="-3"/>
              </w:rPr>
              <w:t>250</w:t>
            </w:r>
          </w:p>
        </w:tc>
        <w:tc>
          <w:tcPr>
            <w:tcW w:w="2844" w:type="dxa"/>
            <w:vAlign w:val="top"/>
          </w:tcPr>
          <w:p w14:paraId="36E38085">
            <w:pPr>
              <w:spacing w:before="150" w:line="186" w:lineRule="auto"/>
              <w:ind w:left="127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350</w:t>
            </w:r>
          </w:p>
          <w:p w14:paraId="77B00B81">
            <w:pPr>
              <w:spacing w:before="172" w:line="186" w:lineRule="auto"/>
              <w:ind w:left="126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250</w:t>
            </w:r>
          </w:p>
          <w:p w14:paraId="26BC283B">
            <w:pPr>
              <w:spacing w:before="172" w:line="186" w:lineRule="auto"/>
              <w:ind w:left="1286"/>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150</w:t>
            </w:r>
          </w:p>
        </w:tc>
      </w:tr>
      <w:tr w14:paraId="2B011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2843" w:type="dxa"/>
            <w:vAlign w:val="top"/>
          </w:tcPr>
          <w:p w14:paraId="5C9D1ED2">
            <w:pPr>
              <w:pStyle w:val="6"/>
              <w:spacing w:before="113" w:line="219" w:lineRule="auto"/>
              <w:ind w:left="377"/>
            </w:pPr>
            <w:r>
              <w:rPr>
                <w:spacing w:val="-1"/>
              </w:rPr>
              <w:t>体型简单的剪力墙结构</w:t>
            </w:r>
          </w:p>
          <w:p w14:paraId="071B47AE">
            <w:pPr>
              <w:pStyle w:val="6"/>
              <w:spacing w:before="110" w:line="220" w:lineRule="auto"/>
              <w:ind w:left="278"/>
            </w:pPr>
            <w:r>
              <w:rPr>
                <w:spacing w:val="-2"/>
              </w:rPr>
              <w:t>高层建筑桩基最大沉降量</w:t>
            </w:r>
          </w:p>
          <w:p w14:paraId="12162525">
            <w:pPr>
              <w:pStyle w:val="6"/>
              <w:spacing w:before="109" w:line="217" w:lineRule="auto"/>
              <w:ind w:left="1060"/>
            </w:pPr>
            <w:r>
              <w:rPr>
                <w:spacing w:val="-4"/>
              </w:rPr>
              <w:t>（</w:t>
            </w:r>
            <w:r>
              <w:rPr>
                <w:rFonts w:ascii="Times New Roman" w:hAnsi="Times New Roman" w:eastAsia="Times New Roman" w:cs="Times New Roman"/>
                <w:spacing w:val="-4"/>
              </w:rPr>
              <w:t>mm</w:t>
            </w:r>
            <w:r>
              <w:rPr>
                <w:spacing w:val="-4"/>
              </w:rPr>
              <w:t>）</w:t>
            </w:r>
          </w:p>
        </w:tc>
        <w:tc>
          <w:tcPr>
            <w:tcW w:w="2839" w:type="dxa"/>
            <w:vAlign w:val="top"/>
          </w:tcPr>
          <w:p w14:paraId="72210C61">
            <w:pPr>
              <w:spacing w:line="251" w:lineRule="auto"/>
              <w:rPr>
                <w:rFonts w:ascii="Arial"/>
                <w:sz w:val="21"/>
              </w:rPr>
            </w:pPr>
          </w:p>
          <w:p w14:paraId="165CE6E9">
            <w:pPr>
              <w:spacing w:line="251" w:lineRule="auto"/>
              <w:rPr>
                <w:rFonts w:ascii="Arial"/>
                <w:sz w:val="21"/>
              </w:rPr>
            </w:pPr>
          </w:p>
          <w:p w14:paraId="24398CF1">
            <w:pPr>
              <w:pStyle w:val="6"/>
              <w:spacing w:before="68" w:line="141" w:lineRule="exact"/>
              <w:ind w:left="1214"/>
            </w:pPr>
            <w:r>
              <w:rPr>
                <w:spacing w:val="-2"/>
                <w:position w:val="-10"/>
              </w:rPr>
              <w:t>——</w:t>
            </w:r>
          </w:p>
        </w:tc>
        <w:tc>
          <w:tcPr>
            <w:tcW w:w="2844" w:type="dxa"/>
            <w:vAlign w:val="top"/>
          </w:tcPr>
          <w:p w14:paraId="5CB5EDA8">
            <w:pPr>
              <w:spacing w:line="449" w:lineRule="auto"/>
              <w:rPr>
                <w:rFonts w:ascii="Arial"/>
                <w:sz w:val="21"/>
              </w:rPr>
            </w:pPr>
          </w:p>
          <w:p w14:paraId="7091E2DA">
            <w:pPr>
              <w:spacing w:before="60" w:line="186" w:lineRule="auto"/>
              <w:ind w:left="126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200</w:t>
            </w:r>
          </w:p>
        </w:tc>
      </w:tr>
    </w:tbl>
    <w:p w14:paraId="714FCE30">
      <w:pPr>
        <w:spacing w:before="172" w:line="215" w:lineRule="auto"/>
        <w:ind w:left="419"/>
        <w:rPr>
          <w:rFonts w:ascii="宋体" w:hAnsi="宋体" w:eastAsia="宋体" w:cs="宋体"/>
          <w:sz w:val="21"/>
          <w:szCs w:val="21"/>
        </w:rPr>
      </w:pPr>
      <w:r>
        <w:rPr>
          <w:rFonts w:ascii="宋体" w:hAnsi="宋体" w:eastAsia="宋体" w:cs="宋体"/>
          <w:sz w:val="21"/>
          <w:szCs w:val="21"/>
        </w:rPr>
        <w:t>注：</w:t>
      </w:r>
      <w:r>
        <w:rPr>
          <w:rFonts w:ascii="Times New Roman" w:hAnsi="Times New Roman" w:eastAsia="Times New Roman" w:cs="Times New Roman"/>
          <w:i/>
          <w:iCs/>
          <w:position w:val="-2"/>
          <w:sz w:val="19"/>
          <w:szCs w:val="19"/>
        </w:rPr>
        <w:t>l</w:t>
      </w:r>
      <w:r>
        <w:rPr>
          <w:rFonts w:ascii="Times New Roman" w:hAnsi="Times New Roman" w:eastAsia="Times New Roman" w:cs="Times New Roman"/>
          <w:position w:val="-7"/>
          <w:sz w:val="11"/>
          <w:szCs w:val="11"/>
        </w:rPr>
        <w:t>0</w:t>
      </w:r>
      <w:r>
        <w:rPr>
          <w:rFonts w:ascii="Times New Roman" w:hAnsi="Times New Roman" w:eastAsia="Times New Roman" w:cs="Times New Roman"/>
          <w:spacing w:val="21"/>
          <w:position w:val="-7"/>
          <w:sz w:val="11"/>
          <w:szCs w:val="11"/>
        </w:rPr>
        <w:t xml:space="preserve"> </w:t>
      </w:r>
      <w:r>
        <w:rPr>
          <w:rFonts w:ascii="宋体" w:hAnsi="宋体" w:eastAsia="宋体" w:cs="宋体"/>
          <w:sz w:val="21"/>
          <w:szCs w:val="21"/>
        </w:rPr>
        <w:t>为相邻柱（墙）二测点间距离，</w:t>
      </w:r>
      <w:r>
        <w:rPr>
          <w:rFonts w:ascii="Times New Roman" w:hAnsi="Times New Roman" w:eastAsia="Times New Roman" w:cs="Times New Roman"/>
          <w:sz w:val="21"/>
          <w:szCs w:val="21"/>
        </w:rPr>
        <w:t>H</w:t>
      </w:r>
      <w:r>
        <w:rPr>
          <w:rFonts w:ascii="Times New Roman" w:hAnsi="Times New Roman" w:eastAsia="Times New Roman" w:cs="Times New Roman"/>
          <w:position w:val="-1"/>
          <w:sz w:val="14"/>
          <w:szCs w:val="14"/>
        </w:rPr>
        <w:t>g</w:t>
      </w:r>
      <w:r>
        <w:rPr>
          <w:rFonts w:ascii="Times New Roman" w:hAnsi="Times New Roman" w:eastAsia="Times New Roman" w:cs="Times New Roman"/>
          <w:spacing w:val="11"/>
          <w:position w:val="-1"/>
          <w:sz w:val="14"/>
          <w:szCs w:val="14"/>
        </w:rPr>
        <w:t xml:space="preserve"> </w:t>
      </w:r>
      <w:r>
        <w:rPr>
          <w:rFonts w:ascii="宋体" w:hAnsi="宋体" w:eastAsia="宋体" w:cs="宋体"/>
          <w:sz w:val="21"/>
          <w:szCs w:val="21"/>
        </w:rPr>
        <w:t>为自室外地</w:t>
      </w:r>
      <w:r>
        <w:rPr>
          <w:rFonts w:ascii="宋体" w:hAnsi="宋体" w:eastAsia="宋体" w:cs="宋体"/>
          <w:spacing w:val="-1"/>
          <w:sz w:val="21"/>
          <w:szCs w:val="21"/>
        </w:rPr>
        <w:t>面算起的建筑物高度（</w:t>
      </w:r>
      <w:r>
        <w:rPr>
          <w:rFonts w:ascii="Times New Roman" w:hAnsi="Times New Roman" w:eastAsia="Times New Roman" w:cs="Times New Roman"/>
          <w:spacing w:val="-1"/>
          <w:sz w:val="21"/>
          <w:szCs w:val="21"/>
        </w:rPr>
        <w:t>m</w:t>
      </w:r>
      <w:r>
        <w:rPr>
          <w:rFonts w:ascii="宋体" w:hAnsi="宋体" w:eastAsia="宋体" w:cs="宋体"/>
          <w:spacing w:val="-1"/>
          <w:sz w:val="21"/>
          <w:szCs w:val="21"/>
        </w:rPr>
        <w:t>）。</w:t>
      </w:r>
    </w:p>
    <w:p w14:paraId="08BE3AC2">
      <w:pPr>
        <w:spacing w:before="136"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5.9.6    </w:t>
      </w:r>
      <w:r>
        <w:rPr>
          <w:rFonts w:ascii="宋体" w:hAnsi="宋体" w:eastAsia="宋体" w:cs="宋体"/>
          <w:strike/>
          <w:sz w:val="24"/>
          <w:szCs w:val="24"/>
        </w:rPr>
        <w:t>桩基承台厚度应满足柱（墙）对承台的冲切和基</w:t>
      </w:r>
      <w:r>
        <w:rPr>
          <w:rFonts w:ascii="宋体" w:hAnsi="宋体" w:eastAsia="宋体" w:cs="宋体"/>
          <w:strike/>
          <w:spacing w:val="-1"/>
          <w:sz w:val="24"/>
          <w:szCs w:val="24"/>
        </w:rPr>
        <w:t>桩对承台的冲切承载力要求。</w:t>
      </w:r>
    </w:p>
    <w:p w14:paraId="60D41FB3">
      <w:pPr>
        <w:spacing w:line="220" w:lineRule="auto"/>
        <w:rPr>
          <w:rFonts w:ascii="宋体" w:hAnsi="宋体" w:eastAsia="宋体" w:cs="宋体"/>
          <w:sz w:val="24"/>
          <w:szCs w:val="24"/>
        </w:rPr>
        <w:sectPr>
          <w:footerReference r:id="rId13" w:type="default"/>
          <w:pgSz w:w="11907" w:h="16839"/>
          <w:pgMar w:top="400" w:right="1549" w:bottom="743" w:left="1427" w:header="0" w:footer="582" w:gutter="0"/>
          <w:cols w:space="720" w:num="1"/>
        </w:sectPr>
      </w:pPr>
    </w:p>
    <w:p w14:paraId="17A9FF67">
      <w:pPr>
        <w:pStyle w:val="2"/>
        <w:spacing w:line="302" w:lineRule="auto"/>
      </w:pPr>
    </w:p>
    <w:p w14:paraId="77CAAD53">
      <w:pPr>
        <w:pStyle w:val="2"/>
        <w:spacing w:line="303" w:lineRule="auto"/>
      </w:pPr>
    </w:p>
    <w:p w14:paraId="06A86102">
      <w:pPr>
        <w:pStyle w:val="2"/>
        <w:spacing w:line="303" w:lineRule="auto"/>
      </w:pPr>
    </w:p>
    <w:p w14:paraId="6303DC67">
      <w:pPr>
        <w:spacing w:before="78" w:line="299" w:lineRule="auto"/>
        <w:ind w:left="8" w:right="120" w:firstLine="3"/>
        <w:rPr>
          <w:rFonts w:ascii="宋体" w:hAnsi="宋体" w:eastAsia="宋体" w:cs="宋体"/>
          <w:sz w:val="24"/>
          <w:szCs w:val="24"/>
        </w:rPr>
      </w:pPr>
      <w:r>
        <w:rPr>
          <w:rFonts w:ascii="Times New Roman" w:hAnsi="Times New Roman" w:eastAsia="Times New Roman" w:cs="Times New Roman"/>
          <w:strike/>
          <w:sz w:val="24"/>
          <w:szCs w:val="24"/>
        </w:rPr>
        <w:t xml:space="preserve">5.9.9    </w:t>
      </w:r>
      <w:r>
        <w:rPr>
          <w:rFonts w:ascii="宋体" w:hAnsi="宋体" w:eastAsia="宋体" w:cs="宋体"/>
          <w:strike/>
          <w:sz w:val="24"/>
          <w:szCs w:val="24"/>
        </w:rPr>
        <w:t>柱（墙）下桩基承台，应分别对柱（墙）边、变</w:t>
      </w:r>
      <w:r>
        <w:rPr>
          <w:rFonts w:ascii="宋体" w:hAnsi="宋体" w:eastAsia="宋体" w:cs="宋体"/>
          <w:strike/>
          <w:spacing w:val="-1"/>
          <w:sz w:val="24"/>
          <w:szCs w:val="24"/>
        </w:rPr>
        <w:t>阶处和桩边联线形成的贯通承</w:t>
      </w:r>
      <w:r>
        <w:rPr>
          <w:rFonts w:ascii="宋体" w:hAnsi="宋体" w:eastAsia="宋体" w:cs="宋体"/>
          <w:sz w:val="24"/>
          <w:szCs w:val="24"/>
        </w:rPr>
        <w:t xml:space="preserve"> </w:t>
      </w:r>
      <w:r>
        <w:rPr>
          <w:rFonts w:ascii="宋体" w:hAnsi="宋体" w:eastAsia="宋体" w:cs="宋体"/>
          <w:strike/>
          <w:sz w:val="24"/>
          <w:szCs w:val="24"/>
        </w:rPr>
        <w:t>台的斜截面的受剪承载力进行验算。当承台悬挑边有多排基桩</w:t>
      </w:r>
      <w:r>
        <w:rPr>
          <w:rFonts w:ascii="宋体" w:hAnsi="宋体" w:eastAsia="宋体" w:cs="宋体"/>
          <w:strike/>
          <w:spacing w:val="-1"/>
          <w:sz w:val="24"/>
          <w:szCs w:val="24"/>
        </w:rPr>
        <w:t>形成多个斜截面时，应</w:t>
      </w:r>
      <w:r>
        <w:rPr>
          <w:rFonts w:ascii="宋体" w:hAnsi="宋体" w:eastAsia="宋体" w:cs="宋体"/>
          <w:sz w:val="24"/>
          <w:szCs w:val="24"/>
        </w:rPr>
        <w:t xml:space="preserve"> </w:t>
      </w:r>
      <w:r>
        <w:rPr>
          <w:rFonts w:ascii="宋体" w:hAnsi="宋体" w:eastAsia="宋体" w:cs="宋体"/>
          <w:strike/>
          <w:spacing w:val="-1"/>
          <w:sz w:val="24"/>
          <w:szCs w:val="24"/>
        </w:rPr>
        <w:t>对每个斜截面的受剪承载力进行验算。</w:t>
      </w:r>
    </w:p>
    <w:p w14:paraId="4A14BF76">
      <w:pPr>
        <w:spacing w:before="155" w:line="279" w:lineRule="auto"/>
        <w:ind w:left="11"/>
        <w:rPr>
          <w:rFonts w:ascii="宋体" w:hAnsi="宋体" w:eastAsia="宋体" w:cs="宋体"/>
          <w:sz w:val="24"/>
          <w:szCs w:val="24"/>
        </w:rPr>
      </w:pPr>
      <w:r>
        <w:rPr>
          <w:rFonts w:ascii="Times New Roman" w:hAnsi="Times New Roman" w:eastAsia="Times New Roman" w:cs="Times New Roman"/>
          <w:strike/>
          <w:sz w:val="24"/>
          <w:szCs w:val="24"/>
        </w:rPr>
        <w:t xml:space="preserve">5.9.15    </w:t>
      </w:r>
      <w:r>
        <w:rPr>
          <w:rFonts w:ascii="宋体" w:hAnsi="宋体" w:eastAsia="宋体" w:cs="宋体"/>
          <w:strike/>
          <w:sz w:val="24"/>
          <w:szCs w:val="24"/>
        </w:rPr>
        <w:t>对于柱下桩基，当承台混凝土强度等级低于柱或</w:t>
      </w:r>
      <w:r>
        <w:rPr>
          <w:rFonts w:ascii="宋体" w:hAnsi="宋体" w:eastAsia="宋体" w:cs="宋体"/>
          <w:strike/>
          <w:spacing w:val="-1"/>
          <w:sz w:val="24"/>
          <w:szCs w:val="24"/>
        </w:rPr>
        <w:t>桩的混凝土强度等级时，应验</w:t>
      </w:r>
      <w:r>
        <w:rPr>
          <w:rFonts w:ascii="宋体" w:hAnsi="宋体" w:eastAsia="宋体" w:cs="宋体"/>
          <w:sz w:val="24"/>
          <w:szCs w:val="24"/>
        </w:rPr>
        <w:t xml:space="preserve"> </w:t>
      </w:r>
      <w:r>
        <w:rPr>
          <w:rFonts w:ascii="宋体" w:hAnsi="宋体" w:eastAsia="宋体" w:cs="宋体"/>
          <w:strike/>
          <w:spacing w:val="-1"/>
          <w:sz w:val="24"/>
          <w:szCs w:val="24"/>
        </w:rPr>
        <w:t>算柱下或桩上承台的局部受压承载力。</w:t>
      </w:r>
    </w:p>
    <w:p w14:paraId="57529ACB">
      <w:pPr>
        <w:spacing w:before="153" w:line="220" w:lineRule="auto"/>
        <w:ind w:left="14"/>
        <w:rPr>
          <w:rFonts w:ascii="宋体" w:hAnsi="宋体" w:eastAsia="宋体" w:cs="宋体"/>
          <w:sz w:val="24"/>
          <w:szCs w:val="24"/>
        </w:rPr>
      </w:pPr>
      <w:r>
        <w:rPr>
          <w:rFonts w:ascii="Times New Roman" w:hAnsi="Times New Roman" w:eastAsia="Times New Roman" w:cs="Times New Roman"/>
          <w:strike/>
          <w:spacing w:val="-1"/>
          <w:sz w:val="24"/>
          <w:szCs w:val="24"/>
        </w:rPr>
        <w:t xml:space="preserve">8.1.5    </w:t>
      </w:r>
      <w:r>
        <w:rPr>
          <w:rFonts w:ascii="宋体" w:hAnsi="宋体" w:eastAsia="宋体" w:cs="宋体"/>
          <w:strike/>
          <w:spacing w:val="-1"/>
          <w:sz w:val="24"/>
          <w:szCs w:val="24"/>
        </w:rPr>
        <w:t>挖土应均衡分层进行，对流塑状软土的基坑开挖，高差不应超</w:t>
      </w:r>
      <w:r>
        <w:rPr>
          <w:rFonts w:ascii="宋体" w:hAnsi="宋体" w:eastAsia="宋体" w:cs="宋体"/>
          <w:strike/>
          <w:spacing w:val="-2"/>
          <w:sz w:val="24"/>
          <w:szCs w:val="24"/>
        </w:rPr>
        <w:t>过</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1m</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2C8310C0">
      <w:pPr>
        <w:spacing w:before="155" w:line="279" w:lineRule="auto"/>
        <w:ind w:left="11" w:right="120" w:firstLine="3"/>
        <w:rPr>
          <w:rFonts w:ascii="宋体" w:hAnsi="宋体" w:eastAsia="宋体" w:cs="宋体"/>
          <w:sz w:val="24"/>
          <w:szCs w:val="24"/>
        </w:rPr>
      </w:pPr>
      <w:r>
        <w:rPr>
          <w:rFonts w:ascii="Times New Roman" w:hAnsi="Times New Roman" w:eastAsia="Times New Roman" w:cs="Times New Roman"/>
          <w:strike/>
          <w:sz w:val="24"/>
          <w:szCs w:val="24"/>
        </w:rPr>
        <w:t xml:space="preserve">8.1.9    </w:t>
      </w:r>
      <w:r>
        <w:rPr>
          <w:rFonts w:ascii="宋体" w:hAnsi="宋体" w:eastAsia="宋体" w:cs="宋体"/>
          <w:strike/>
          <w:sz w:val="24"/>
          <w:szCs w:val="24"/>
        </w:rPr>
        <w:t>在承台和地下室外墙与基坑侧壁间隙回填</w:t>
      </w:r>
      <w:r>
        <w:rPr>
          <w:rFonts w:ascii="宋体" w:hAnsi="宋体" w:eastAsia="宋体" w:cs="宋体"/>
          <w:strike/>
          <w:spacing w:val="-1"/>
          <w:sz w:val="24"/>
          <w:szCs w:val="24"/>
        </w:rPr>
        <w:t>土前，应排除积水，清除虚土和建筑</w:t>
      </w:r>
      <w:r>
        <w:rPr>
          <w:rFonts w:ascii="宋体" w:hAnsi="宋体" w:eastAsia="宋体" w:cs="宋体"/>
          <w:sz w:val="24"/>
          <w:szCs w:val="24"/>
        </w:rPr>
        <w:t xml:space="preserve"> </w:t>
      </w:r>
      <w:r>
        <w:rPr>
          <w:rFonts w:ascii="宋体" w:hAnsi="宋体" w:eastAsia="宋体" w:cs="宋体"/>
          <w:strike/>
          <w:spacing w:val="-1"/>
          <w:sz w:val="24"/>
          <w:szCs w:val="24"/>
        </w:rPr>
        <w:t>垃圾，填土应按设计要求选料，分层夯实，对称进行。</w:t>
      </w:r>
    </w:p>
    <w:p w14:paraId="41DB9448">
      <w:pPr>
        <w:spacing w:before="153" w:line="220"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9.4.2    </w:t>
      </w:r>
      <w:r>
        <w:rPr>
          <w:rFonts w:ascii="宋体" w:hAnsi="宋体" w:eastAsia="宋体" w:cs="宋体"/>
          <w:strike/>
          <w:spacing w:val="-1"/>
          <w:sz w:val="24"/>
          <w:szCs w:val="24"/>
        </w:rPr>
        <w:t>工程桩应进行承载力和桩身质量检验。</w:t>
      </w:r>
    </w:p>
    <w:p w14:paraId="28DF55DF">
      <w:pPr>
        <w:spacing w:before="201" w:line="226" w:lineRule="auto"/>
        <w:ind w:left="18"/>
        <w:outlineLvl w:val="2"/>
        <w:rPr>
          <w:rFonts w:ascii="宋体" w:hAnsi="宋体" w:eastAsia="宋体" w:cs="宋体"/>
          <w:sz w:val="27"/>
          <w:szCs w:val="27"/>
        </w:rPr>
      </w:pPr>
      <w:bookmarkStart w:id="10" w:name="bookmark59"/>
      <w:bookmarkEnd w:id="10"/>
      <w:r>
        <w:rPr>
          <w:rFonts w:ascii="Times New Roman" w:hAnsi="Times New Roman" w:eastAsia="Times New Roman" w:cs="Times New Roman"/>
          <w:b/>
          <w:bCs/>
          <w:spacing w:val="5"/>
          <w:sz w:val="27"/>
          <w:szCs w:val="27"/>
        </w:rPr>
        <w:t>15.</w:t>
      </w:r>
      <w:r>
        <w:rPr>
          <w:rFonts w:ascii="Times New Roman" w:hAnsi="Times New Roman" w:eastAsia="Times New Roman" w:cs="Times New Roman"/>
          <w:b/>
          <w:bCs/>
          <w:spacing w:val="-25"/>
          <w:sz w:val="27"/>
          <w:szCs w:val="27"/>
        </w:rPr>
        <w:t xml:space="preserve"> </w:t>
      </w:r>
      <w:r>
        <w:rPr>
          <w:rFonts w:ascii="宋体" w:hAnsi="宋体" w:eastAsia="宋体" w:cs="宋体"/>
          <w:b/>
          <w:bCs/>
          <w:spacing w:val="5"/>
          <w:sz w:val="27"/>
          <w:szCs w:val="27"/>
        </w:rPr>
        <w:t>《建筑基桩检测技术规范》</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106-2014</w:t>
      </w:r>
      <w:r>
        <w:rPr>
          <w:rFonts w:ascii="宋体" w:hAnsi="宋体" w:eastAsia="宋体" w:cs="宋体"/>
          <w:b/>
          <w:bCs/>
          <w:spacing w:val="5"/>
          <w:sz w:val="27"/>
          <w:szCs w:val="27"/>
        </w:rPr>
        <w:t>【强条已废】</w:t>
      </w:r>
    </w:p>
    <w:p w14:paraId="6D0723E6">
      <w:pPr>
        <w:spacing w:before="286" w:line="220" w:lineRule="auto"/>
        <w:ind w:left="36"/>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745C041D">
      <w:pPr>
        <w:spacing w:before="311" w:line="219"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4.3.4    </w:t>
      </w:r>
      <w:r>
        <w:rPr>
          <w:rFonts w:ascii="宋体" w:hAnsi="宋体" w:eastAsia="宋体" w:cs="宋体"/>
          <w:strike/>
          <w:sz w:val="24"/>
          <w:szCs w:val="24"/>
        </w:rPr>
        <w:t>为设计提供依据的单桩竖向抗压静载试验应采用慢速维</w:t>
      </w:r>
      <w:r>
        <w:rPr>
          <w:rFonts w:ascii="宋体" w:hAnsi="宋体" w:eastAsia="宋体" w:cs="宋体"/>
          <w:strike/>
          <w:spacing w:val="-1"/>
          <w:sz w:val="24"/>
          <w:szCs w:val="24"/>
        </w:rPr>
        <w:t>持荷载法。</w:t>
      </w:r>
    </w:p>
    <w:p w14:paraId="31095D2A">
      <w:pPr>
        <w:tabs>
          <w:tab w:val="left" w:pos="135"/>
        </w:tabs>
        <w:spacing w:before="155" w:line="265" w:lineRule="auto"/>
        <w:ind w:right="599" w:firstLine="9"/>
        <w:rPr>
          <w:rFonts w:ascii="宋体" w:hAnsi="宋体" w:eastAsia="宋体" w:cs="宋体"/>
          <w:sz w:val="24"/>
          <w:szCs w:val="24"/>
        </w:rPr>
      </w:pPr>
      <w:r>
        <w:rPr>
          <w:rFonts w:ascii="Times New Roman" w:hAnsi="Times New Roman" w:eastAsia="Times New Roman" w:cs="Times New Roman"/>
          <w:strike/>
          <w:sz w:val="24"/>
          <w:szCs w:val="24"/>
        </w:rPr>
        <w:t xml:space="preserve">9.2.3    </w:t>
      </w:r>
      <w:r>
        <w:rPr>
          <w:rFonts w:ascii="宋体" w:hAnsi="宋体" w:eastAsia="宋体" w:cs="宋体"/>
          <w:strike/>
          <w:sz w:val="24"/>
          <w:szCs w:val="24"/>
        </w:rPr>
        <w:t>高应变检测专用锤基设备应具有稳固的导向装置</w:t>
      </w:r>
      <w:r>
        <w:rPr>
          <w:rFonts w:ascii="宋体" w:hAnsi="宋体" w:eastAsia="宋体" w:cs="宋体"/>
          <w:strike/>
          <w:spacing w:val="-1"/>
          <w:sz w:val="24"/>
          <w:szCs w:val="24"/>
        </w:rPr>
        <w:t>。重锤应形状对称，高径</w:t>
      </w:r>
      <w:r>
        <w:rPr>
          <w:rFonts w:ascii="宋体" w:hAnsi="宋体" w:eastAsia="宋体" w:cs="宋体"/>
          <w:sz w:val="24"/>
          <w:szCs w:val="24"/>
        </w:rPr>
        <w:t xml:space="preserve"> </w:t>
      </w:r>
      <w:r>
        <w:rPr>
          <w:rFonts w:ascii="宋体" w:hAnsi="宋体" w:eastAsia="宋体" w:cs="宋体"/>
          <w:strike/>
          <w:sz w:val="24"/>
          <w:szCs w:val="24"/>
        </w:rPr>
        <w:tab/>
      </w:r>
      <w:r>
        <w:rPr>
          <w:rFonts w:ascii="宋体" w:hAnsi="宋体" w:eastAsia="宋体" w:cs="宋体"/>
          <w:strike/>
          <w:spacing w:val="-17"/>
          <w:sz w:val="24"/>
          <w:szCs w:val="24"/>
        </w:rPr>
        <w:t>（宽）比不得小于</w:t>
      </w:r>
      <w:r>
        <w:rPr>
          <w:rFonts w:ascii="宋体" w:hAnsi="宋体" w:eastAsia="宋体" w:cs="宋体"/>
          <w:strike/>
          <w:spacing w:val="-44"/>
          <w:sz w:val="24"/>
          <w:szCs w:val="24"/>
        </w:rPr>
        <w:t xml:space="preserve"> </w:t>
      </w:r>
      <w:r>
        <w:rPr>
          <w:position w:val="-2"/>
          <w:sz w:val="24"/>
          <w:szCs w:val="24"/>
        </w:rPr>
        <w:drawing>
          <wp:inline distT="0" distB="0" distL="0" distR="0">
            <wp:extent cx="228600" cy="10287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82"/>
                    <a:stretch>
                      <a:fillRect/>
                    </a:stretch>
                  </pic:blipFill>
                  <pic:spPr>
                    <a:xfrm>
                      <a:off x="0" y="0"/>
                      <a:ext cx="228600" cy="103022"/>
                    </a:xfrm>
                    <a:prstGeom prst="rect">
                      <a:avLst/>
                    </a:prstGeom>
                  </pic:spPr>
                </pic:pic>
              </a:graphicData>
            </a:graphic>
          </wp:inline>
        </w:drawing>
      </w:r>
      <w:r>
        <w:rPr>
          <w:rFonts w:ascii="宋体" w:hAnsi="宋体" w:eastAsia="宋体" w:cs="宋体"/>
          <w:spacing w:val="-17"/>
          <w:position w:val="-6"/>
          <w:sz w:val="24"/>
          <w:szCs w:val="24"/>
        </w:rPr>
        <w:t>。</w:t>
      </w:r>
    </w:p>
    <w:p w14:paraId="76B06254">
      <w:pPr>
        <w:spacing w:before="130" w:line="279" w:lineRule="auto"/>
        <w:ind w:left="9" w:right="120"/>
        <w:rPr>
          <w:rFonts w:ascii="宋体" w:hAnsi="宋体" w:eastAsia="宋体" w:cs="宋体"/>
          <w:sz w:val="24"/>
          <w:szCs w:val="24"/>
        </w:rPr>
      </w:pPr>
      <w:r>
        <w:rPr>
          <w:rFonts w:ascii="Times New Roman" w:hAnsi="Times New Roman" w:eastAsia="Times New Roman" w:cs="Times New Roman"/>
          <w:strike/>
          <w:sz w:val="24"/>
          <w:szCs w:val="24"/>
        </w:rPr>
        <w:t xml:space="preserve">9.2.5    </w:t>
      </w:r>
      <w:r>
        <w:rPr>
          <w:rFonts w:ascii="宋体" w:hAnsi="宋体" w:eastAsia="宋体" w:cs="宋体"/>
          <w:strike/>
          <w:sz w:val="24"/>
          <w:szCs w:val="24"/>
        </w:rPr>
        <w:t>采用高应变法进行承载力检测时，锤的重量与单桩竖</w:t>
      </w:r>
      <w:r>
        <w:rPr>
          <w:rFonts w:ascii="宋体" w:hAnsi="宋体" w:eastAsia="宋体" w:cs="宋体"/>
          <w:strike/>
          <w:spacing w:val="-1"/>
          <w:sz w:val="24"/>
          <w:szCs w:val="24"/>
        </w:rPr>
        <w:t>向抗压承载力特征值的比</w:t>
      </w:r>
      <w:r>
        <w:rPr>
          <w:rFonts w:ascii="宋体" w:hAnsi="宋体" w:eastAsia="宋体" w:cs="宋体"/>
          <w:sz w:val="24"/>
          <w:szCs w:val="24"/>
        </w:rPr>
        <w:t xml:space="preserve"> </w:t>
      </w:r>
      <w:r>
        <w:rPr>
          <w:rFonts w:ascii="宋体" w:hAnsi="宋体" w:eastAsia="宋体" w:cs="宋体"/>
          <w:strike/>
          <w:spacing w:val="-2"/>
          <w:sz w:val="24"/>
          <w:szCs w:val="24"/>
        </w:rPr>
        <w:t>值不得小于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2"/>
          <w:sz w:val="24"/>
          <w:szCs w:val="24"/>
        </w:rPr>
        <w:t>0.02</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44474641">
      <w:pPr>
        <w:spacing w:before="154" w:line="280" w:lineRule="auto"/>
        <w:ind w:left="14" w:right="120" w:hanging="5"/>
        <w:rPr>
          <w:rFonts w:ascii="宋体" w:hAnsi="宋体" w:eastAsia="宋体" w:cs="宋体"/>
          <w:sz w:val="24"/>
          <w:szCs w:val="24"/>
        </w:rPr>
      </w:pPr>
      <w:r>
        <w:rPr>
          <w:rFonts w:ascii="Times New Roman" w:hAnsi="Times New Roman" w:eastAsia="Times New Roman" w:cs="Times New Roman"/>
          <w:strike/>
          <w:sz w:val="24"/>
          <w:szCs w:val="24"/>
        </w:rPr>
        <w:t xml:space="preserve">9.4.5    </w:t>
      </w:r>
      <w:r>
        <w:rPr>
          <w:rFonts w:ascii="宋体" w:hAnsi="宋体" w:eastAsia="宋体" w:cs="宋体"/>
          <w:strike/>
          <w:sz w:val="24"/>
          <w:szCs w:val="24"/>
        </w:rPr>
        <w:t>高应变实测的力和速度信号第</w:t>
      </w:r>
      <w:r>
        <w:rPr>
          <w:rFonts w:ascii="宋体" w:hAnsi="宋体" w:eastAsia="宋体" w:cs="宋体"/>
          <w:sz w:val="24"/>
          <w:szCs w:val="24"/>
        </w:rPr>
        <w:t>一</w:t>
      </w:r>
      <w:r>
        <w:rPr>
          <w:rFonts w:ascii="宋体" w:hAnsi="宋体" w:eastAsia="宋体" w:cs="宋体"/>
          <w:strike/>
          <w:sz w:val="24"/>
          <w:szCs w:val="24"/>
        </w:rPr>
        <w:t>峰起始段不成比例时</w:t>
      </w:r>
      <w:r>
        <w:rPr>
          <w:rFonts w:ascii="宋体" w:hAnsi="宋体" w:eastAsia="宋体" w:cs="宋体"/>
          <w:strike/>
          <w:spacing w:val="-1"/>
          <w:sz w:val="24"/>
          <w:szCs w:val="24"/>
        </w:rPr>
        <w:t>，不得对实测力或速度信</w:t>
      </w:r>
      <w:r>
        <w:rPr>
          <w:rFonts w:ascii="宋体" w:hAnsi="宋体" w:eastAsia="宋体" w:cs="宋体"/>
          <w:sz w:val="24"/>
          <w:szCs w:val="24"/>
        </w:rPr>
        <w:t xml:space="preserve"> </w:t>
      </w:r>
      <w:r>
        <w:rPr>
          <w:rFonts w:ascii="宋体" w:hAnsi="宋体" w:eastAsia="宋体" w:cs="宋体"/>
          <w:strike/>
          <w:spacing w:val="-3"/>
          <w:sz w:val="24"/>
          <w:szCs w:val="24"/>
        </w:rPr>
        <w:t>号进行调整。</w:t>
      </w:r>
    </w:p>
    <w:p w14:paraId="6E8B4F98">
      <w:pPr>
        <w:spacing w:before="201" w:line="226" w:lineRule="auto"/>
        <w:ind w:left="18"/>
        <w:outlineLvl w:val="2"/>
        <w:rPr>
          <w:rFonts w:ascii="宋体" w:hAnsi="宋体" w:eastAsia="宋体" w:cs="宋体"/>
          <w:sz w:val="27"/>
          <w:szCs w:val="27"/>
        </w:rPr>
      </w:pPr>
      <w:bookmarkStart w:id="11" w:name="bookmark60"/>
      <w:bookmarkEnd w:id="11"/>
      <w:r>
        <w:rPr>
          <w:rFonts w:ascii="Times New Roman" w:hAnsi="Times New Roman" w:eastAsia="Times New Roman" w:cs="Times New Roman"/>
          <w:b/>
          <w:bCs/>
          <w:spacing w:val="3"/>
          <w:sz w:val="27"/>
          <w:szCs w:val="27"/>
        </w:rPr>
        <w:t>16.</w:t>
      </w:r>
      <w:r>
        <w:rPr>
          <w:rFonts w:ascii="Times New Roman" w:hAnsi="Times New Roman" w:eastAsia="Times New Roman" w:cs="Times New Roman"/>
          <w:b/>
          <w:bCs/>
          <w:spacing w:val="-33"/>
          <w:sz w:val="27"/>
          <w:szCs w:val="27"/>
        </w:rPr>
        <w:t xml:space="preserve"> </w:t>
      </w:r>
      <w:r>
        <w:rPr>
          <w:rFonts w:ascii="宋体" w:hAnsi="宋体" w:eastAsia="宋体" w:cs="宋体"/>
          <w:b/>
          <w:bCs/>
          <w:spacing w:val="3"/>
          <w:sz w:val="27"/>
          <w:szCs w:val="27"/>
        </w:rPr>
        <w:t>《冻土地区建筑地基基础设计规范》</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3"/>
          <w:sz w:val="27"/>
          <w:szCs w:val="27"/>
        </w:rPr>
        <w:t>118-2011</w:t>
      </w:r>
      <w:r>
        <w:rPr>
          <w:rFonts w:ascii="Times New Roman" w:hAnsi="Times New Roman" w:eastAsia="Times New Roman" w:cs="Times New Roman"/>
          <w:b/>
          <w:bCs/>
          <w:spacing w:val="-11"/>
          <w:sz w:val="27"/>
          <w:szCs w:val="27"/>
        </w:rPr>
        <w:t xml:space="preserve"> </w:t>
      </w:r>
      <w:r>
        <w:rPr>
          <w:rFonts w:ascii="宋体" w:hAnsi="宋体" w:eastAsia="宋体" w:cs="宋体"/>
          <w:b/>
          <w:bCs/>
          <w:spacing w:val="3"/>
          <w:sz w:val="27"/>
          <w:szCs w:val="27"/>
        </w:rPr>
        <w:t>【强条已废】</w:t>
      </w:r>
    </w:p>
    <w:p w14:paraId="67C1EF13">
      <w:pPr>
        <w:spacing w:before="286" w:line="220" w:lineRule="auto"/>
        <w:ind w:left="36"/>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22793182">
      <w:pPr>
        <w:spacing w:before="310" w:line="279" w:lineRule="auto"/>
        <w:ind w:left="9" w:right="120"/>
        <w:rPr>
          <w:rFonts w:ascii="宋体" w:hAnsi="宋体" w:eastAsia="宋体" w:cs="宋体"/>
          <w:sz w:val="24"/>
          <w:szCs w:val="24"/>
        </w:rPr>
      </w:pPr>
      <w:r>
        <w:rPr>
          <w:rFonts w:ascii="Times New Roman" w:hAnsi="Times New Roman" w:eastAsia="Times New Roman" w:cs="Times New Roman"/>
          <w:strike/>
          <w:sz w:val="24"/>
          <w:szCs w:val="24"/>
        </w:rPr>
        <w:t xml:space="preserve">3.2.1    </w:t>
      </w:r>
      <w:r>
        <w:rPr>
          <w:rFonts w:ascii="宋体" w:hAnsi="宋体" w:eastAsia="宋体" w:cs="宋体"/>
          <w:strike/>
          <w:sz w:val="24"/>
          <w:szCs w:val="24"/>
        </w:rPr>
        <w:t>多年冻土地区建筑地基基础设计前应进行冻土工程地</w:t>
      </w:r>
      <w:r>
        <w:rPr>
          <w:rFonts w:ascii="宋体" w:hAnsi="宋体" w:eastAsia="宋体" w:cs="宋体"/>
          <w:strike/>
          <w:spacing w:val="-1"/>
          <w:sz w:val="24"/>
          <w:szCs w:val="24"/>
        </w:rPr>
        <w:t>质勘察，查清建筑场地的</w:t>
      </w:r>
      <w:r>
        <w:rPr>
          <w:rFonts w:ascii="宋体" w:hAnsi="宋体" w:eastAsia="宋体" w:cs="宋体"/>
          <w:sz w:val="24"/>
          <w:szCs w:val="24"/>
        </w:rPr>
        <w:t xml:space="preserve"> </w:t>
      </w:r>
      <w:r>
        <w:rPr>
          <w:rFonts w:ascii="宋体" w:hAnsi="宋体" w:eastAsia="宋体" w:cs="宋体"/>
          <w:strike/>
          <w:spacing w:val="-1"/>
          <w:sz w:val="24"/>
          <w:szCs w:val="24"/>
        </w:rPr>
        <w:t>冻土工程地质条件。</w:t>
      </w:r>
    </w:p>
    <w:p w14:paraId="15782588">
      <w:pPr>
        <w:spacing w:before="155" w:line="219"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6.1.1    </w:t>
      </w:r>
      <w:r>
        <w:rPr>
          <w:rFonts w:ascii="宋体" w:hAnsi="宋体" w:eastAsia="宋体" w:cs="宋体"/>
          <w:strike/>
          <w:sz w:val="24"/>
          <w:szCs w:val="24"/>
        </w:rPr>
        <w:t>在多年冻土地区建筑地基设计中，应对地基</w:t>
      </w:r>
      <w:r>
        <w:rPr>
          <w:rFonts w:ascii="宋体" w:hAnsi="宋体" w:eastAsia="宋体" w:cs="宋体"/>
          <w:strike/>
          <w:spacing w:val="-1"/>
          <w:sz w:val="24"/>
          <w:szCs w:val="24"/>
        </w:rPr>
        <w:t>进行静力计算和热工计算。</w:t>
      </w:r>
    </w:p>
    <w:p w14:paraId="5E0122DB">
      <w:pPr>
        <w:spacing w:before="155" w:line="279" w:lineRule="auto"/>
        <w:ind w:left="10" w:right="120" w:firstLine="497"/>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地基的静力计算应包括承载力计算，变形计算和稳定性验算。确定冻土地基承</w:t>
      </w:r>
      <w:r>
        <w:rPr>
          <w:rFonts w:ascii="宋体" w:hAnsi="宋体" w:eastAsia="宋体" w:cs="宋体"/>
          <w:spacing w:val="7"/>
          <w:sz w:val="24"/>
          <w:szCs w:val="24"/>
        </w:rPr>
        <w:t xml:space="preserve"> </w:t>
      </w:r>
      <w:r>
        <w:rPr>
          <w:rFonts w:ascii="宋体" w:hAnsi="宋体" w:eastAsia="宋体" w:cs="宋体"/>
          <w:strike/>
          <w:spacing w:val="-1"/>
          <w:sz w:val="24"/>
          <w:szCs w:val="24"/>
        </w:rPr>
        <w:t>载力时，应计入地基土的温度影响。</w:t>
      </w:r>
    </w:p>
    <w:p w14:paraId="212E963B">
      <w:pPr>
        <w:spacing w:before="154" w:line="279" w:lineRule="auto"/>
        <w:ind w:left="11" w:right="120" w:firstLine="473"/>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地基的热工计算应包括地温特征值计算、地基冻结深度计算、</w:t>
      </w:r>
      <w:r>
        <w:rPr>
          <w:rFonts w:ascii="宋体" w:hAnsi="宋体" w:eastAsia="宋体" w:cs="宋体"/>
          <w:strike/>
          <w:spacing w:val="-1"/>
          <w:sz w:val="24"/>
          <w:szCs w:val="24"/>
        </w:rPr>
        <w:t>地基融化深度计</w:t>
      </w:r>
      <w:r>
        <w:rPr>
          <w:rFonts w:ascii="宋体" w:hAnsi="宋体" w:eastAsia="宋体" w:cs="宋体"/>
          <w:sz w:val="24"/>
          <w:szCs w:val="24"/>
        </w:rPr>
        <w:t xml:space="preserve"> </w:t>
      </w:r>
      <w:r>
        <w:rPr>
          <w:rFonts w:ascii="宋体" w:hAnsi="宋体" w:eastAsia="宋体" w:cs="宋体"/>
          <w:strike/>
          <w:spacing w:val="-3"/>
          <w:sz w:val="24"/>
          <w:szCs w:val="24"/>
        </w:rPr>
        <w:t>算等。</w:t>
      </w:r>
    </w:p>
    <w:p w14:paraId="3A49F7C9">
      <w:pPr>
        <w:spacing w:before="155" w:line="219" w:lineRule="auto"/>
        <w:ind w:left="14"/>
        <w:rPr>
          <w:rFonts w:ascii="宋体" w:hAnsi="宋体" w:eastAsia="宋体" w:cs="宋体"/>
          <w:sz w:val="24"/>
          <w:szCs w:val="24"/>
        </w:rPr>
      </w:pPr>
      <w:r>
        <w:rPr>
          <w:rFonts w:ascii="Times New Roman" w:hAnsi="Times New Roman" w:eastAsia="Times New Roman" w:cs="Times New Roman"/>
          <w:strike/>
          <w:sz w:val="24"/>
          <w:szCs w:val="24"/>
        </w:rPr>
        <w:t xml:space="preserve">8.1.1    </w:t>
      </w:r>
      <w:r>
        <w:rPr>
          <w:rFonts w:ascii="宋体" w:hAnsi="宋体" w:eastAsia="宋体" w:cs="宋体"/>
          <w:strike/>
          <w:sz w:val="24"/>
          <w:szCs w:val="24"/>
        </w:rPr>
        <w:t>多年冻土地区及季节冻土地区的边坡应</w:t>
      </w:r>
      <w:r>
        <w:rPr>
          <w:rFonts w:ascii="宋体" w:hAnsi="宋体" w:eastAsia="宋体" w:cs="宋体"/>
          <w:strike/>
          <w:spacing w:val="-1"/>
          <w:sz w:val="24"/>
          <w:szCs w:val="24"/>
        </w:rPr>
        <w:t>采取可靠措施防止融化期的失稳。</w:t>
      </w:r>
    </w:p>
    <w:p w14:paraId="796FA663">
      <w:pPr>
        <w:spacing w:before="202" w:line="226" w:lineRule="auto"/>
        <w:ind w:left="18"/>
        <w:outlineLvl w:val="2"/>
        <w:rPr>
          <w:rFonts w:ascii="宋体" w:hAnsi="宋体" w:eastAsia="宋体" w:cs="宋体"/>
          <w:sz w:val="27"/>
          <w:szCs w:val="27"/>
        </w:rPr>
      </w:pPr>
      <w:bookmarkStart w:id="12" w:name="bookmark61"/>
      <w:bookmarkEnd w:id="12"/>
      <w:r>
        <w:rPr>
          <w:rFonts w:ascii="Times New Roman" w:hAnsi="Times New Roman" w:eastAsia="Times New Roman" w:cs="Times New Roman"/>
          <w:b/>
          <w:bCs/>
          <w:spacing w:val="5"/>
          <w:sz w:val="27"/>
          <w:szCs w:val="27"/>
        </w:rPr>
        <w:t>17.</w:t>
      </w:r>
      <w:r>
        <w:rPr>
          <w:rFonts w:ascii="Times New Roman" w:hAnsi="Times New Roman" w:eastAsia="Times New Roman" w:cs="Times New Roman"/>
          <w:b/>
          <w:bCs/>
          <w:spacing w:val="-25"/>
          <w:sz w:val="27"/>
          <w:szCs w:val="27"/>
        </w:rPr>
        <w:t xml:space="preserve"> </w:t>
      </w:r>
      <w:r>
        <w:rPr>
          <w:rFonts w:ascii="宋体" w:hAnsi="宋体" w:eastAsia="宋体" w:cs="宋体"/>
          <w:b/>
          <w:bCs/>
          <w:spacing w:val="5"/>
          <w:sz w:val="27"/>
          <w:szCs w:val="27"/>
        </w:rPr>
        <w:t>《建筑基坑支护技术规程》</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120-2012</w:t>
      </w:r>
      <w:r>
        <w:rPr>
          <w:rFonts w:ascii="宋体" w:hAnsi="宋体" w:eastAsia="宋体" w:cs="宋体"/>
          <w:b/>
          <w:bCs/>
          <w:spacing w:val="5"/>
          <w:sz w:val="27"/>
          <w:szCs w:val="27"/>
        </w:rPr>
        <w:t>【强条已废】</w:t>
      </w:r>
    </w:p>
    <w:p w14:paraId="73DCD57B">
      <w:pPr>
        <w:spacing w:before="286" w:line="220" w:lineRule="auto"/>
        <w:ind w:left="36"/>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GB55003-2021</w:t>
      </w:r>
      <w:r>
        <w:rPr>
          <w:rFonts w:ascii="宋体" w:hAnsi="宋体" w:eastAsia="宋体" w:cs="宋体"/>
          <w:b/>
          <w:bCs/>
          <w:color w:val="FF0000"/>
          <w:sz w:val="24"/>
          <w:szCs w:val="24"/>
        </w:rPr>
        <w:t>替代</w:t>
      </w:r>
    </w:p>
    <w:p w14:paraId="11C3A49B">
      <w:pPr>
        <w:spacing w:line="220" w:lineRule="auto"/>
        <w:rPr>
          <w:rFonts w:ascii="宋体" w:hAnsi="宋体" w:eastAsia="宋体" w:cs="宋体"/>
          <w:sz w:val="24"/>
          <w:szCs w:val="24"/>
        </w:rPr>
        <w:sectPr>
          <w:footerReference r:id="rId14" w:type="default"/>
          <w:pgSz w:w="11907" w:h="16839"/>
          <w:pgMar w:top="400" w:right="1489" w:bottom="743" w:left="1417" w:header="0" w:footer="582" w:gutter="0"/>
          <w:cols w:space="720" w:num="1"/>
        </w:sectPr>
      </w:pPr>
    </w:p>
    <w:p w14:paraId="3CD32582">
      <w:pPr>
        <w:pStyle w:val="2"/>
        <w:spacing w:line="303" w:lineRule="auto"/>
      </w:pPr>
    </w:p>
    <w:p w14:paraId="51607488">
      <w:pPr>
        <w:pStyle w:val="2"/>
        <w:spacing w:line="303" w:lineRule="auto"/>
      </w:pPr>
    </w:p>
    <w:p w14:paraId="6D0E4A2A">
      <w:pPr>
        <w:pStyle w:val="2"/>
        <w:spacing w:line="303" w:lineRule="auto"/>
      </w:pPr>
    </w:p>
    <w:p w14:paraId="66F7E715">
      <w:pPr>
        <w:spacing w:before="78"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3.1.2    </w:t>
      </w:r>
      <w:r>
        <w:rPr>
          <w:rFonts w:ascii="宋体" w:hAnsi="宋体" w:eastAsia="宋体" w:cs="宋体"/>
          <w:strike/>
          <w:spacing w:val="-1"/>
          <w:sz w:val="24"/>
          <w:szCs w:val="24"/>
        </w:rPr>
        <w:t>基坑支护应满足下列功能要求：</w:t>
      </w:r>
    </w:p>
    <w:p w14:paraId="015E97C1">
      <w:pPr>
        <w:spacing w:before="154" w:line="220" w:lineRule="auto"/>
        <w:ind w:left="50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保证基坑周边建（构）筑物、地下管线、道路的安全和正常使用；</w:t>
      </w:r>
    </w:p>
    <w:p w14:paraId="1F640FBB">
      <w:pPr>
        <w:spacing w:before="154"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保证主体地下结构的施工空间。</w:t>
      </w:r>
    </w:p>
    <w:p w14:paraId="655B7D62">
      <w:pPr>
        <w:spacing w:before="153" w:line="280" w:lineRule="auto"/>
        <w:ind w:left="6" w:right="239" w:firstLine="4"/>
        <w:rPr>
          <w:rFonts w:ascii="宋体" w:hAnsi="宋体" w:eastAsia="宋体" w:cs="宋体"/>
          <w:sz w:val="24"/>
          <w:szCs w:val="24"/>
        </w:rPr>
      </w:pPr>
      <w:r>
        <w:rPr>
          <w:rFonts w:ascii="Times New Roman" w:hAnsi="Times New Roman" w:eastAsia="Times New Roman" w:cs="Times New Roman"/>
          <w:strike/>
          <w:sz w:val="24"/>
          <w:szCs w:val="24"/>
        </w:rPr>
        <w:t xml:space="preserve">8.1.3    </w:t>
      </w:r>
      <w:r>
        <w:rPr>
          <w:rFonts w:ascii="宋体" w:hAnsi="宋体" w:eastAsia="宋体" w:cs="宋体"/>
          <w:strike/>
          <w:sz w:val="24"/>
          <w:szCs w:val="24"/>
        </w:rPr>
        <w:t>当基坑开挖面上方的锚杆、土钉、支撑</w:t>
      </w:r>
      <w:r>
        <w:rPr>
          <w:rFonts w:ascii="宋体" w:hAnsi="宋体" w:eastAsia="宋体" w:cs="宋体"/>
          <w:strike/>
          <w:spacing w:val="-1"/>
          <w:sz w:val="24"/>
          <w:szCs w:val="24"/>
        </w:rPr>
        <w:t>未达到设计要求时，严禁向下超挖土</w:t>
      </w:r>
      <w:r>
        <w:rPr>
          <w:rFonts w:ascii="宋体" w:hAnsi="宋体" w:eastAsia="宋体" w:cs="宋体"/>
          <w:sz w:val="24"/>
          <w:szCs w:val="24"/>
        </w:rPr>
        <w:t xml:space="preserve"> </w:t>
      </w:r>
      <w:r>
        <w:rPr>
          <w:rFonts w:ascii="宋体" w:hAnsi="宋体" w:eastAsia="宋体" w:cs="宋体"/>
          <w:strike/>
          <w:spacing w:val="-3"/>
          <w:sz w:val="24"/>
          <w:szCs w:val="24"/>
        </w:rPr>
        <w:t>方。</w:t>
      </w:r>
    </w:p>
    <w:p w14:paraId="2F6B0214">
      <w:pPr>
        <w:spacing w:before="152" w:line="279" w:lineRule="auto"/>
        <w:ind w:left="8" w:firstLine="2"/>
        <w:rPr>
          <w:rFonts w:ascii="宋体" w:hAnsi="宋体" w:eastAsia="宋体" w:cs="宋体"/>
          <w:sz w:val="24"/>
          <w:szCs w:val="24"/>
        </w:rPr>
      </w:pPr>
      <w:r>
        <w:rPr>
          <w:rFonts w:ascii="Times New Roman" w:hAnsi="Times New Roman" w:eastAsia="Times New Roman" w:cs="Times New Roman"/>
          <w:strike/>
          <w:sz w:val="24"/>
          <w:szCs w:val="24"/>
        </w:rPr>
        <w:t xml:space="preserve">8.1.4    </w:t>
      </w:r>
      <w:r>
        <w:rPr>
          <w:rFonts w:ascii="宋体" w:hAnsi="宋体" w:eastAsia="宋体" w:cs="宋体"/>
          <w:strike/>
          <w:sz w:val="24"/>
          <w:szCs w:val="24"/>
        </w:rPr>
        <w:t>采用锚杆或支撑的支护结构，在未达到设</w:t>
      </w:r>
      <w:r>
        <w:rPr>
          <w:rFonts w:ascii="宋体" w:hAnsi="宋体" w:eastAsia="宋体" w:cs="宋体"/>
          <w:strike/>
          <w:spacing w:val="-1"/>
          <w:sz w:val="24"/>
          <w:szCs w:val="24"/>
        </w:rPr>
        <w:t>计规定的拆除条件时，严禁拆除锚杆</w:t>
      </w:r>
      <w:r>
        <w:rPr>
          <w:rFonts w:ascii="宋体" w:hAnsi="宋体" w:eastAsia="宋体" w:cs="宋体"/>
          <w:sz w:val="24"/>
          <w:szCs w:val="24"/>
        </w:rPr>
        <w:t xml:space="preserve"> </w:t>
      </w:r>
      <w:r>
        <w:rPr>
          <w:rFonts w:ascii="宋体" w:hAnsi="宋体" w:eastAsia="宋体" w:cs="宋体"/>
          <w:strike/>
          <w:spacing w:val="-3"/>
          <w:sz w:val="24"/>
          <w:szCs w:val="24"/>
        </w:rPr>
        <w:t>或支撑。</w:t>
      </w:r>
    </w:p>
    <w:p w14:paraId="11D420C7">
      <w:pPr>
        <w:spacing w:before="154" w:line="219"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8.1.5    </w:t>
      </w:r>
      <w:r>
        <w:rPr>
          <w:rFonts w:ascii="宋体" w:hAnsi="宋体" w:eastAsia="宋体" w:cs="宋体"/>
          <w:strike/>
          <w:sz w:val="24"/>
          <w:szCs w:val="24"/>
        </w:rPr>
        <w:t>基坑周边施工材料、设施或车辆荷载</w:t>
      </w:r>
      <w:r>
        <w:rPr>
          <w:rFonts w:ascii="宋体" w:hAnsi="宋体" w:eastAsia="宋体" w:cs="宋体"/>
          <w:strike/>
          <w:spacing w:val="-1"/>
          <w:sz w:val="24"/>
          <w:szCs w:val="24"/>
        </w:rPr>
        <w:t>严禁超过设计要求的地面荷载限值。</w:t>
      </w:r>
    </w:p>
    <w:p w14:paraId="470185C9">
      <w:pPr>
        <w:spacing w:before="157" w:line="299" w:lineRule="auto"/>
        <w:ind w:left="6" w:firstLine="4"/>
        <w:rPr>
          <w:rFonts w:ascii="宋体" w:hAnsi="宋体" w:eastAsia="宋体" w:cs="宋体"/>
          <w:sz w:val="24"/>
          <w:szCs w:val="24"/>
        </w:rPr>
      </w:pPr>
      <w:r>
        <w:rPr>
          <w:rFonts w:ascii="Times New Roman" w:hAnsi="Times New Roman" w:eastAsia="Times New Roman" w:cs="Times New Roman"/>
          <w:strike/>
          <w:sz w:val="24"/>
          <w:szCs w:val="24"/>
        </w:rPr>
        <w:t xml:space="preserve">8.2.2    </w:t>
      </w:r>
      <w:r>
        <w:rPr>
          <w:rFonts w:ascii="宋体" w:hAnsi="宋体" w:eastAsia="宋体" w:cs="宋体"/>
          <w:strike/>
          <w:sz w:val="24"/>
          <w:szCs w:val="24"/>
        </w:rPr>
        <w:t>安全等级为</w:t>
      </w:r>
      <w:r>
        <w:rPr>
          <w:rFonts w:ascii="宋体" w:hAnsi="宋体" w:eastAsia="宋体" w:cs="宋体"/>
          <w:sz w:val="24"/>
          <w:szCs w:val="24"/>
        </w:rPr>
        <w:t>一</w:t>
      </w:r>
      <w:r>
        <w:rPr>
          <w:rFonts w:ascii="宋体" w:hAnsi="宋体" w:eastAsia="宋体" w:cs="宋体"/>
          <w:strike/>
          <w:sz w:val="24"/>
          <w:szCs w:val="24"/>
        </w:rPr>
        <w:t>级、二级的支护结构，在基</w:t>
      </w:r>
      <w:r>
        <w:rPr>
          <w:rFonts w:ascii="宋体" w:hAnsi="宋体" w:eastAsia="宋体" w:cs="宋体"/>
          <w:strike/>
          <w:spacing w:val="-1"/>
          <w:sz w:val="24"/>
          <w:szCs w:val="24"/>
        </w:rPr>
        <w:t>坑开挖过程与支护结构使用期内，必</w:t>
      </w:r>
      <w:r>
        <w:rPr>
          <w:rFonts w:ascii="宋体" w:hAnsi="宋体" w:eastAsia="宋体" w:cs="宋体"/>
          <w:sz w:val="24"/>
          <w:szCs w:val="24"/>
        </w:rPr>
        <w:t xml:space="preserve"> </w:t>
      </w:r>
      <w:r>
        <w:rPr>
          <w:rFonts w:ascii="宋体" w:hAnsi="宋体" w:eastAsia="宋体" w:cs="宋体"/>
          <w:strike/>
          <w:sz w:val="24"/>
          <w:szCs w:val="24"/>
        </w:rPr>
        <w:t>须进行支护结构的水平位移检测和基坑开挖影响范围内建</w:t>
      </w:r>
      <w:r>
        <w:rPr>
          <w:rFonts w:ascii="宋体" w:hAnsi="宋体" w:eastAsia="宋体" w:cs="宋体"/>
          <w:strike/>
          <w:spacing w:val="-1"/>
          <w:sz w:val="24"/>
          <w:szCs w:val="24"/>
        </w:rPr>
        <w:t>（构）筑物、地面的沉降监</w:t>
      </w:r>
      <w:r>
        <w:rPr>
          <w:rFonts w:ascii="宋体" w:hAnsi="宋体" w:eastAsia="宋体" w:cs="宋体"/>
          <w:sz w:val="24"/>
          <w:szCs w:val="24"/>
        </w:rPr>
        <w:t xml:space="preserve"> </w:t>
      </w:r>
      <w:r>
        <w:rPr>
          <w:rFonts w:ascii="宋体" w:hAnsi="宋体" w:eastAsia="宋体" w:cs="宋体"/>
          <w:strike/>
          <w:spacing w:val="-3"/>
          <w:sz w:val="24"/>
          <w:szCs w:val="24"/>
        </w:rPr>
        <w:t>测。</w:t>
      </w:r>
    </w:p>
    <w:p w14:paraId="3651BAA6">
      <w:pPr>
        <w:spacing w:before="199" w:line="226" w:lineRule="auto"/>
        <w:ind w:left="14"/>
        <w:outlineLvl w:val="2"/>
        <w:rPr>
          <w:rFonts w:ascii="Times New Roman" w:hAnsi="Times New Roman" w:eastAsia="Times New Roman" w:cs="Times New Roman"/>
          <w:sz w:val="27"/>
          <w:szCs w:val="27"/>
        </w:rPr>
      </w:pPr>
      <w:bookmarkStart w:id="13" w:name="bookmark62"/>
      <w:bookmarkEnd w:id="13"/>
      <w:r>
        <w:rPr>
          <w:rFonts w:ascii="Times New Roman" w:hAnsi="Times New Roman" w:eastAsia="Times New Roman" w:cs="Times New Roman"/>
          <w:b/>
          <w:bCs/>
          <w:spacing w:val="4"/>
          <w:sz w:val="27"/>
          <w:szCs w:val="27"/>
        </w:rPr>
        <w:t>18.</w:t>
      </w:r>
      <w:r>
        <w:rPr>
          <w:rFonts w:ascii="Times New Roman" w:hAnsi="Times New Roman" w:eastAsia="Times New Roman" w:cs="Times New Roman"/>
          <w:b/>
          <w:bCs/>
          <w:spacing w:val="-24"/>
          <w:sz w:val="27"/>
          <w:szCs w:val="27"/>
        </w:rPr>
        <w:t xml:space="preserve"> </w:t>
      </w:r>
      <w:r>
        <w:rPr>
          <w:rFonts w:ascii="宋体" w:hAnsi="宋体" w:eastAsia="宋体" w:cs="宋体"/>
          <w:b/>
          <w:bCs/>
          <w:spacing w:val="4"/>
          <w:sz w:val="27"/>
          <w:szCs w:val="27"/>
        </w:rPr>
        <w:t>《载体桩设计规程》</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4"/>
          <w:sz w:val="27"/>
          <w:szCs w:val="27"/>
        </w:rPr>
        <w:t>135-2007</w:t>
      </w:r>
    </w:p>
    <w:p w14:paraId="663B5FAE">
      <w:pPr>
        <w:spacing w:before="285"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4.5.1    </w:t>
      </w:r>
      <w:r>
        <w:rPr>
          <w:rFonts w:ascii="宋体" w:hAnsi="宋体" w:eastAsia="宋体" w:cs="宋体"/>
          <w:spacing w:val="-2"/>
          <w:sz w:val="24"/>
          <w:szCs w:val="24"/>
        </w:rPr>
        <w:t>对于下列建筑物的载体桩基应进行沉降计算：</w:t>
      </w:r>
    </w:p>
    <w:p w14:paraId="711F3A84">
      <w:pPr>
        <w:spacing w:before="155" w:line="220" w:lineRule="auto"/>
        <w:ind w:left="504"/>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建筑桩基设计等级为甲级的载体桩基；</w:t>
      </w:r>
    </w:p>
    <w:p w14:paraId="5A9DC68B">
      <w:pPr>
        <w:spacing w:before="154" w:line="280" w:lineRule="auto"/>
        <w:ind w:left="5" w:firstLine="475"/>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体形复杂、荷载不均匀或桩端以下存在软弱下卧层的设计等级</w:t>
      </w:r>
      <w:r>
        <w:rPr>
          <w:rFonts w:ascii="宋体" w:hAnsi="宋体" w:eastAsia="宋体" w:cs="宋体"/>
          <w:spacing w:val="-1"/>
          <w:sz w:val="24"/>
          <w:szCs w:val="24"/>
        </w:rPr>
        <w:t>为乙级的载体桩</w:t>
      </w:r>
      <w:r>
        <w:rPr>
          <w:rFonts w:ascii="宋体" w:hAnsi="宋体" w:eastAsia="宋体" w:cs="宋体"/>
          <w:sz w:val="24"/>
          <w:szCs w:val="24"/>
        </w:rPr>
        <w:t xml:space="preserve"> </w:t>
      </w:r>
      <w:r>
        <w:rPr>
          <w:rFonts w:ascii="宋体" w:hAnsi="宋体" w:eastAsia="宋体" w:cs="宋体"/>
          <w:spacing w:val="-17"/>
          <w:sz w:val="24"/>
          <w:szCs w:val="24"/>
        </w:rPr>
        <w:t>基；</w:t>
      </w:r>
    </w:p>
    <w:p w14:paraId="200503A9">
      <w:pPr>
        <w:spacing w:before="152" w:line="220" w:lineRule="auto"/>
        <w:ind w:left="486"/>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地基条件复杂、对沉降要求严格的载体桩基。</w:t>
      </w:r>
    </w:p>
    <w:p w14:paraId="186F82DD">
      <w:pPr>
        <w:spacing w:before="154"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4.5.4    </w:t>
      </w:r>
      <w:r>
        <w:rPr>
          <w:rFonts w:ascii="宋体" w:hAnsi="宋体" w:eastAsia="宋体" w:cs="宋体"/>
          <w:spacing w:val="-1"/>
          <w:sz w:val="24"/>
          <w:szCs w:val="24"/>
        </w:rPr>
        <w:t>建筑物载体桩基沉降变形计算值不应大于建筑物桩基沉降变形允许值。</w:t>
      </w:r>
    </w:p>
    <w:p w14:paraId="3C487D71">
      <w:pPr>
        <w:spacing w:before="202" w:line="226" w:lineRule="auto"/>
        <w:ind w:left="14"/>
        <w:outlineLvl w:val="1"/>
        <w:rPr>
          <w:rFonts w:ascii="宋体" w:hAnsi="宋体" w:eastAsia="宋体" w:cs="宋体"/>
          <w:sz w:val="27"/>
          <w:szCs w:val="27"/>
        </w:rPr>
      </w:pPr>
      <w:bookmarkStart w:id="14" w:name="bookmark63"/>
      <w:bookmarkEnd w:id="14"/>
      <w:r>
        <w:rPr>
          <w:rFonts w:ascii="Times New Roman" w:hAnsi="Times New Roman" w:eastAsia="Times New Roman" w:cs="Times New Roman"/>
          <w:b/>
          <w:bCs/>
          <w:spacing w:val="5"/>
          <w:sz w:val="27"/>
          <w:szCs w:val="27"/>
        </w:rPr>
        <w:t>19.</w:t>
      </w:r>
      <w:r>
        <w:rPr>
          <w:rFonts w:ascii="Times New Roman" w:hAnsi="Times New Roman" w:eastAsia="Times New Roman" w:cs="Times New Roman"/>
          <w:b/>
          <w:bCs/>
          <w:spacing w:val="-37"/>
          <w:sz w:val="27"/>
          <w:szCs w:val="27"/>
        </w:rPr>
        <w:t xml:space="preserve"> </w:t>
      </w:r>
      <w:r>
        <w:rPr>
          <w:rFonts w:ascii="宋体" w:hAnsi="宋体" w:eastAsia="宋体" w:cs="宋体"/>
          <w:b/>
          <w:bCs/>
          <w:spacing w:val="5"/>
          <w:sz w:val="27"/>
          <w:szCs w:val="27"/>
        </w:rPr>
        <w:t>《地下建筑工程逆作法技术规程》</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165-2010</w:t>
      </w:r>
      <w:r>
        <w:rPr>
          <w:rFonts w:ascii="Times New Roman" w:hAnsi="Times New Roman" w:eastAsia="Times New Roman" w:cs="Times New Roman"/>
          <w:b/>
          <w:bCs/>
          <w:spacing w:val="-44"/>
          <w:sz w:val="27"/>
          <w:szCs w:val="27"/>
        </w:rPr>
        <w:t xml:space="preserve"> </w:t>
      </w:r>
      <w:r>
        <w:rPr>
          <w:rFonts w:ascii="宋体" w:hAnsi="宋体" w:eastAsia="宋体" w:cs="宋体"/>
          <w:b/>
          <w:bCs/>
          <w:spacing w:val="5"/>
          <w:sz w:val="27"/>
          <w:szCs w:val="27"/>
        </w:rPr>
        <w:t>【强条已废】</w:t>
      </w:r>
    </w:p>
    <w:p w14:paraId="79F9F901">
      <w:pPr>
        <w:spacing w:before="285" w:line="220" w:lineRule="auto"/>
        <w:jc w:val="right"/>
        <w:rPr>
          <w:rFonts w:ascii="宋体" w:hAnsi="宋体" w:eastAsia="宋体" w:cs="宋体"/>
          <w:sz w:val="24"/>
          <w:szCs w:val="24"/>
        </w:rPr>
      </w:pPr>
      <w:r>
        <w:rPr>
          <w:rFonts w:ascii="Times New Roman" w:hAnsi="Times New Roman" w:eastAsia="Times New Roman" w:cs="Times New Roman"/>
          <w:strike/>
          <w:sz w:val="24"/>
          <w:szCs w:val="24"/>
        </w:rPr>
        <w:t xml:space="preserve">3.0.4    </w:t>
      </w:r>
      <w:r>
        <w:rPr>
          <w:rFonts w:ascii="宋体" w:hAnsi="宋体" w:eastAsia="宋体" w:cs="宋体"/>
          <w:strike/>
          <w:sz w:val="24"/>
          <w:szCs w:val="24"/>
        </w:rPr>
        <w:t>地下建筑工程逆作法施工必须设围护结构，其主体结</w:t>
      </w:r>
      <w:r>
        <w:rPr>
          <w:rFonts w:ascii="宋体" w:hAnsi="宋体" w:eastAsia="宋体" w:cs="宋体"/>
          <w:strike/>
          <w:spacing w:val="-1"/>
          <w:sz w:val="24"/>
          <w:szCs w:val="24"/>
        </w:rPr>
        <w:t>构的水平构件应作为围护</w:t>
      </w:r>
    </w:p>
    <w:p w14:paraId="016ACBC8">
      <w:pPr>
        <w:spacing w:before="154" w:line="220" w:lineRule="auto"/>
        <w:jc w:val="right"/>
        <w:rPr>
          <w:rFonts w:ascii="宋体" w:hAnsi="宋体" w:eastAsia="宋体" w:cs="宋体"/>
          <w:sz w:val="24"/>
          <w:szCs w:val="24"/>
        </w:rPr>
      </w:pPr>
      <w:r>
        <w:rPr>
          <w:rFonts w:ascii="宋体" w:hAnsi="宋体" w:eastAsia="宋体" w:cs="宋体"/>
          <w:strike/>
          <w:sz w:val="24"/>
          <w:szCs w:val="24"/>
        </w:rPr>
        <w:t>结构的水平支撑；当围护结构为永久性承重外</w:t>
      </w:r>
      <w:r>
        <w:rPr>
          <w:rFonts w:ascii="宋体" w:hAnsi="宋体" w:eastAsia="宋体" w:cs="宋体"/>
          <w:strike/>
          <w:spacing w:val="-1"/>
          <w:sz w:val="24"/>
          <w:szCs w:val="24"/>
        </w:rPr>
        <w:t>墙时，应选择与主体结构沉降相适应的</w:t>
      </w:r>
    </w:p>
    <w:p w14:paraId="58649F11">
      <w:pPr>
        <w:spacing w:before="154" w:line="262" w:lineRule="auto"/>
        <w:ind w:left="4" w:right="246"/>
        <w:rPr>
          <w:rFonts w:ascii="宋体" w:hAnsi="宋体" w:eastAsia="宋体" w:cs="宋体"/>
          <w:sz w:val="24"/>
          <w:szCs w:val="24"/>
        </w:rPr>
      </w:pPr>
      <w:r>
        <w:rPr>
          <w:rFonts w:ascii="宋体" w:hAnsi="宋体" w:eastAsia="宋体" w:cs="宋体"/>
          <w:strike/>
          <w:spacing w:val="-1"/>
          <w:sz w:val="24"/>
          <w:szCs w:val="24"/>
        </w:rPr>
        <w:t>岩土层作为排桩或地下连续墙的持力层。</w:t>
      </w:r>
      <w:r>
        <w:rPr>
          <w:rFonts w:ascii="宋体" w:hAnsi="宋体" w:eastAsia="宋体" w:cs="宋体"/>
          <w:spacing w:val="-1"/>
          <w:sz w:val="24"/>
          <w:szCs w:val="24"/>
        </w:rPr>
        <w:t>【</w:t>
      </w:r>
      <w:r>
        <w:rPr>
          <w:rFonts w:ascii="宋体" w:hAnsi="宋体" w:eastAsia="宋体" w:cs="宋体"/>
          <w:b/>
          <w:bCs/>
          <w:color w:val="FF0000"/>
          <w:spacing w:val="-1"/>
          <w:sz w:val="24"/>
          <w:szCs w:val="24"/>
        </w:rPr>
        <w:t>已被</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建筑与市政地基基础通用规范》</w:t>
      </w:r>
      <w:r>
        <w:rPr>
          <w:rFonts w:ascii="宋体" w:hAnsi="宋体" w:eastAsia="宋体" w:cs="宋体"/>
          <w:color w:val="0563C1"/>
          <w:spacing w:val="13"/>
          <w:sz w:val="24"/>
          <w:szCs w:val="24"/>
        </w:rPr>
        <w:t xml:space="preserve"> </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3"/>
          <w:sz w:val="24"/>
          <w:szCs w:val="24"/>
          <w:u w:val="single" w:color="auto"/>
        </w:rPr>
        <w:t>55003-2021</w:t>
      </w:r>
      <w:r>
        <w:rPr>
          <w:rFonts w:ascii="宋体" w:hAnsi="宋体" w:eastAsia="宋体" w:cs="宋体"/>
          <w:b/>
          <w:bCs/>
          <w:color w:val="FF0000"/>
          <w:spacing w:val="3"/>
          <w:sz w:val="24"/>
          <w:szCs w:val="24"/>
        </w:rPr>
        <w:t>替代</w:t>
      </w:r>
      <w:r>
        <w:rPr>
          <w:rFonts w:ascii="宋体" w:hAnsi="宋体" w:eastAsia="宋体" w:cs="宋体"/>
          <w:spacing w:val="3"/>
          <w:sz w:val="24"/>
          <w:szCs w:val="24"/>
        </w:rPr>
        <w:t>】</w:t>
      </w:r>
    </w:p>
    <w:p w14:paraId="1D28C052">
      <w:pPr>
        <w:pStyle w:val="2"/>
        <w:spacing w:line="275" w:lineRule="auto"/>
      </w:pPr>
    </w:p>
    <w:p w14:paraId="698E58BD">
      <w:pPr>
        <w:spacing w:before="79" w:line="279" w:lineRule="auto"/>
        <w:ind w:left="1" w:right="184" w:firstLine="4"/>
        <w:rPr>
          <w:rFonts w:ascii="宋体" w:hAnsi="宋体" w:eastAsia="宋体" w:cs="宋体"/>
          <w:sz w:val="24"/>
          <w:szCs w:val="24"/>
        </w:rPr>
      </w:pPr>
      <w:r>
        <w:rPr>
          <w:rFonts w:ascii="Times New Roman" w:hAnsi="Times New Roman" w:eastAsia="Times New Roman" w:cs="Times New Roman"/>
          <w:strike/>
          <w:sz w:val="24"/>
          <w:szCs w:val="24"/>
        </w:rPr>
        <w:t xml:space="preserve">3.0.5    </w:t>
      </w:r>
      <w:r>
        <w:rPr>
          <w:rFonts w:ascii="宋体" w:hAnsi="宋体" w:eastAsia="宋体" w:cs="宋体"/>
          <w:strike/>
          <w:sz w:val="24"/>
          <w:szCs w:val="24"/>
        </w:rPr>
        <w:t>逆作法施工应全程监测。</w:t>
      </w:r>
      <w:r>
        <w:rPr>
          <w:rFonts w:ascii="宋体" w:hAnsi="宋体" w:eastAsia="宋体" w:cs="宋体"/>
          <w:sz w:val="24"/>
          <w:szCs w:val="24"/>
        </w:rPr>
        <w:t>【</w:t>
      </w:r>
      <w:r>
        <w:rPr>
          <w:rFonts w:ascii="宋体" w:hAnsi="宋体" w:eastAsia="宋体" w:cs="宋体"/>
          <w:b/>
          <w:bCs/>
          <w:color w:val="FF0000"/>
          <w:sz w:val="24"/>
          <w:szCs w:val="24"/>
        </w:rPr>
        <w:t>已被</w:t>
      </w:r>
      <w:r>
        <w:rPr>
          <w:rFonts w:ascii="宋体" w:hAnsi="宋体" w:eastAsia="宋体" w:cs="宋体"/>
          <w:sz w:val="24"/>
          <w:szCs w:val="24"/>
        </w:rPr>
        <w:t>《</w:t>
      </w:r>
      <w:r>
        <w:rPr>
          <w:rFonts w:ascii="宋体" w:hAnsi="宋体" w:eastAsia="宋体" w:cs="宋体"/>
          <w:color w:val="0563C1"/>
          <w:sz w:val="24"/>
          <w:szCs w:val="24"/>
          <w:u w:val="single" w:color="auto"/>
        </w:rPr>
        <w:t>建筑与市政地基基</w:t>
      </w:r>
      <w:r>
        <w:rPr>
          <w:rFonts w:ascii="宋体" w:hAnsi="宋体" w:eastAsia="宋体" w:cs="宋体"/>
          <w:color w:val="0563C1"/>
          <w:spacing w:val="-1"/>
          <w:sz w:val="24"/>
          <w:szCs w:val="24"/>
          <w:u w:val="single" w:color="auto"/>
        </w:rPr>
        <w:t>础通用规范》</w:t>
      </w:r>
      <w:r>
        <w:rPr>
          <w:rFonts w:ascii="Times New Roman" w:hAnsi="Times New Roman" w:eastAsia="Times New Roman" w:cs="Times New Roman"/>
          <w:color w:val="0563C1"/>
          <w:spacing w:val="-1"/>
          <w:sz w:val="24"/>
          <w:szCs w:val="24"/>
          <w:u w:val="single" w:color="auto"/>
        </w:rPr>
        <w:t>GB55003-</w:t>
      </w:r>
      <w:r>
        <w:rPr>
          <w:rFonts w:ascii="Times New Roman" w:hAnsi="Times New Roman" w:eastAsia="Times New Roman" w:cs="Times New Roman"/>
          <w:color w:val="0563C1"/>
          <w:sz w:val="24"/>
          <w:szCs w:val="24"/>
        </w:rPr>
        <w:t xml:space="preserve"> </w:t>
      </w:r>
      <w:r>
        <w:rPr>
          <w:rFonts w:ascii="Times New Roman" w:hAnsi="Times New Roman" w:eastAsia="Times New Roman" w:cs="Times New Roman"/>
          <w:color w:val="0563C1"/>
          <w:spacing w:val="7"/>
          <w:sz w:val="24"/>
          <w:szCs w:val="24"/>
          <w:u w:val="single" w:color="auto"/>
        </w:rPr>
        <w:t>2021</w:t>
      </w:r>
      <w:r>
        <w:rPr>
          <w:rFonts w:ascii="宋体" w:hAnsi="宋体" w:eastAsia="宋体" w:cs="宋体"/>
          <w:b/>
          <w:bCs/>
          <w:color w:val="FF0000"/>
          <w:spacing w:val="7"/>
          <w:sz w:val="24"/>
          <w:szCs w:val="24"/>
        </w:rPr>
        <w:t>替代</w:t>
      </w:r>
      <w:r>
        <w:rPr>
          <w:rFonts w:ascii="宋体" w:hAnsi="宋体" w:eastAsia="宋体" w:cs="宋体"/>
          <w:spacing w:val="7"/>
          <w:sz w:val="24"/>
          <w:szCs w:val="24"/>
        </w:rPr>
        <w:t>】</w:t>
      </w:r>
    </w:p>
    <w:p w14:paraId="7297FE35">
      <w:pPr>
        <w:spacing w:before="311" w:line="219" w:lineRule="auto"/>
        <w:jc w:val="right"/>
        <w:rPr>
          <w:rFonts w:ascii="宋体" w:hAnsi="宋体" w:eastAsia="宋体" w:cs="宋体"/>
          <w:sz w:val="24"/>
          <w:szCs w:val="24"/>
        </w:rPr>
      </w:pPr>
      <w:r>
        <w:rPr>
          <w:rFonts w:ascii="Times New Roman" w:hAnsi="Times New Roman" w:eastAsia="Times New Roman" w:cs="Times New Roman"/>
          <w:strike/>
          <w:sz w:val="24"/>
          <w:szCs w:val="24"/>
        </w:rPr>
        <w:t xml:space="preserve">5.1.3    </w:t>
      </w:r>
      <w:r>
        <w:rPr>
          <w:rFonts w:ascii="宋体" w:hAnsi="宋体" w:eastAsia="宋体" w:cs="宋体"/>
          <w:strike/>
          <w:sz w:val="24"/>
          <w:szCs w:val="24"/>
        </w:rPr>
        <w:t>地下建筑工程逆作法结构设计应根据结构破坏可</w:t>
      </w:r>
      <w:r>
        <w:rPr>
          <w:rFonts w:ascii="宋体" w:hAnsi="宋体" w:eastAsia="宋体" w:cs="宋体"/>
          <w:strike/>
          <w:spacing w:val="-1"/>
          <w:sz w:val="24"/>
          <w:szCs w:val="24"/>
        </w:rPr>
        <w:t>能产生的后果，采用不同的安</w:t>
      </w:r>
    </w:p>
    <w:p w14:paraId="2D029B9E">
      <w:pPr>
        <w:spacing w:before="155" w:line="279" w:lineRule="auto"/>
        <w:ind w:left="10" w:right="250" w:hanging="5"/>
        <w:rPr>
          <w:rFonts w:ascii="宋体" w:hAnsi="宋体" w:eastAsia="宋体" w:cs="宋体"/>
          <w:sz w:val="24"/>
          <w:szCs w:val="24"/>
        </w:rPr>
      </w:pPr>
      <w:r>
        <w:rPr>
          <w:rFonts w:ascii="宋体" w:hAnsi="宋体" w:eastAsia="宋体" w:cs="宋体"/>
          <w:strike/>
          <w:spacing w:val="-2"/>
          <w:sz w:val="24"/>
          <w:szCs w:val="24"/>
        </w:rPr>
        <w:t>全等级及结构的重要性系数并应符合下列规定：</w:t>
      </w:r>
      <w:r>
        <w:rPr>
          <w:rFonts w:ascii="宋体" w:hAnsi="宋体" w:eastAsia="宋体" w:cs="宋体"/>
          <w:spacing w:val="-2"/>
          <w:sz w:val="24"/>
          <w:szCs w:val="24"/>
        </w:rPr>
        <w:t>【</w:t>
      </w:r>
      <w:r>
        <w:rPr>
          <w:rFonts w:ascii="宋体" w:hAnsi="宋体" w:eastAsia="宋体" w:cs="宋体"/>
          <w:spacing w:val="-61"/>
          <w:sz w:val="24"/>
          <w:szCs w:val="24"/>
        </w:rPr>
        <w:t xml:space="preserve"> </w:t>
      </w:r>
      <w:r>
        <w:rPr>
          <w:rFonts w:ascii="宋体" w:hAnsi="宋体" w:eastAsia="宋体" w:cs="宋体"/>
          <w:color w:val="FF0000"/>
          <w:spacing w:val="-2"/>
          <w:sz w:val="24"/>
          <w:szCs w:val="24"/>
        </w:rPr>
        <w:t>当前条目已被</w:t>
      </w:r>
      <w:r>
        <w:rPr>
          <w:rFonts w:ascii="宋体" w:hAnsi="宋体" w:eastAsia="宋体" w:cs="宋体"/>
          <w:color w:val="0563C1"/>
          <w:spacing w:val="-3"/>
          <w:sz w:val="24"/>
          <w:szCs w:val="24"/>
          <w:u w:val="single" w:color="auto"/>
        </w:rPr>
        <w:t>《工程结构通用规</w:t>
      </w:r>
      <w:r>
        <w:rPr>
          <w:rFonts w:ascii="宋体" w:hAnsi="宋体" w:eastAsia="宋体" w:cs="宋体"/>
          <w:color w:val="0563C1"/>
          <w:sz w:val="24"/>
          <w:szCs w:val="24"/>
        </w:rPr>
        <w:t xml:space="preserve"> </w:t>
      </w:r>
      <w:r>
        <w:rPr>
          <w:rFonts w:ascii="宋体" w:hAnsi="宋体" w:eastAsia="宋体" w:cs="宋体"/>
          <w:color w:val="0563C1"/>
          <w:spacing w:val="3"/>
          <w:sz w:val="24"/>
          <w:szCs w:val="24"/>
          <w:u w:val="single" w:color="auto"/>
        </w:rPr>
        <w:t>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3"/>
          <w:sz w:val="24"/>
          <w:szCs w:val="24"/>
          <w:u w:val="single" w:color="auto"/>
        </w:rPr>
        <w:t>55001-2021</w:t>
      </w:r>
      <w:r>
        <w:rPr>
          <w:rFonts w:ascii="宋体" w:hAnsi="宋体" w:eastAsia="宋体" w:cs="宋体"/>
          <w:color w:val="FF0000"/>
          <w:spacing w:val="3"/>
          <w:sz w:val="24"/>
          <w:szCs w:val="24"/>
        </w:rPr>
        <w:t>替代</w:t>
      </w:r>
      <w:r>
        <w:rPr>
          <w:rFonts w:ascii="宋体" w:hAnsi="宋体" w:eastAsia="宋体" w:cs="宋体"/>
          <w:spacing w:val="3"/>
          <w:sz w:val="24"/>
          <w:szCs w:val="24"/>
        </w:rPr>
        <w:t>】</w:t>
      </w:r>
    </w:p>
    <w:p w14:paraId="60091D25">
      <w:pPr>
        <w:spacing w:before="155" w:line="293" w:lineRule="auto"/>
        <w:ind w:left="2727" w:right="1320" w:hanging="2223"/>
        <w:rPr>
          <w:rFonts w:ascii="宋体" w:hAnsi="宋体" w:eastAsia="宋体" w:cs="宋体"/>
          <w:sz w:val="21"/>
          <w:szCs w:val="21"/>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施工期间临时结构的安全等级和重要性系数应符合表</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5.1</w:t>
      </w: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规定；</w:t>
      </w:r>
      <w:r>
        <w:rPr>
          <w:rFonts w:ascii="宋体" w:hAnsi="宋体" w:eastAsia="宋体" w:cs="宋体"/>
          <w:sz w:val="24"/>
          <w:szCs w:val="24"/>
        </w:rPr>
        <w:t xml:space="preserve"> </w:t>
      </w:r>
      <w:r>
        <w:rPr>
          <w:rFonts w:ascii="宋体" w:hAnsi="宋体" w:eastAsia="宋体" w:cs="宋体"/>
          <w:spacing w:val="-1"/>
          <w:sz w:val="21"/>
          <w:szCs w:val="21"/>
        </w:rPr>
        <w:t>表</w:t>
      </w:r>
      <w:r>
        <w:rPr>
          <w:rFonts w:ascii="宋体" w:hAnsi="宋体" w:eastAsia="宋体" w:cs="宋体"/>
          <w:spacing w:val="-36"/>
          <w:sz w:val="21"/>
          <w:szCs w:val="21"/>
        </w:rPr>
        <w:t xml:space="preserve"> </w:t>
      </w:r>
      <w:r>
        <w:rPr>
          <w:rFonts w:ascii="Times New Roman" w:hAnsi="Times New Roman" w:eastAsia="Times New Roman" w:cs="Times New Roman"/>
          <w:spacing w:val="-1"/>
          <w:sz w:val="21"/>
          <w:szCs w:val="21"/>
        </w:rPr>
        <w:t xml:space="preserve">5.1.3    </w:t>
      </w:r>
      <w:r>
        <w:rPr>
          <w:rFonts w:ascii="宋体" w:hAnsi="宋体" w:eastAsia="宋体" w:cs="宋体"/>
          <w:spacing w:val="-1"/>
          <w:sz w:val="21"/>
          <w:szCs w:val="21"/>
        </w:rPr>
        <w:t>临时结构的安全等级和重要性系数</w:t>
      </w:r>
    </w:p>
    <w:p w14:paraId="1975C07C">
      <w:pPr>
        <w:spacing w:line="18"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1"/>
        <w:gridCol w:w="4497"/>
        <w:gridCol w:w="2678"/>
      </w:tblGrid>
      <w:tr w14:paraId="4CFA3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351" w:type="dxa"/>
            <w:vAlign w:val="top"/>
          </w:tcPr>
          <w:p w14:paraId="5C793423">
            <w:pPr>
              <w:pStyle w:val="6"/>
              <w:spacing w:before="113" w:line="217" w:lineRule="auto"/>
              <w:ind w:left="265"/>
            </w:pPr>
            <w:r>
              <w:rPr>
                <w:spacing w:val="-3"/>
              </w:rPr>
              <w:t>安全等级</w:t>
            </w:r>
          </w:p>
        </w:tc>
        <w:tc>
          <w:tcPr>
            <w:tcW w:w="4497" w:type="dxa"/>
            <w:vAlign w:val="top"/>
          </w:tcPr>
          <w:p w14:paraId="3D71A8DA">
            <w:pPr>
              <w:pStyle w:val="6"/>
              <w:spacing w:before="113" w:line="217" w:lineRule="auto"/>
              <w:ind w:left="1833"/>
            </w:pPr>
            <w:r>
              <w:rPr>
                <w:spacing w:val="-2"/>
              </w:rPr>
              <w:t>破坏后果</w:t>
            </w:r>
          </w:p>
        </w:tc>
        <w:tc>
          <w:tcPr>
            <w:tcW w:w="2678" w:type="dxa"/>
            <w:vAlign w:val="top"/>
          </w:tcPr>
          <w:p w14:paraId="67BB98C8">
            <w:pPr>
              <w:spacing w:before="183" w:line="177" w:lineRule="exact"/>
              <w:ind w:left="1227"/>
              <w:rPr>
                <w:rFonts w:ascii="Times New Roman" w:hAnsi="Times New Roman" w:eastAsia="Times New Roman" w:cs="Times New Roman"/>
                <w:sz w:val="14"/>
                <w:szCs w:val="14"/>
              </w:rPr>
            </w:pPr>
            <w:r>
              <w:rPr>
                <w:rFonts w:ascii="Arial" w:hAnsi="Arial" w:eastAsia="Arial" w:cs="Arial"/>
                <w:i/>
                <w:iCs/>
                <w:spacing w:val="-18"/>
                <w:position w:val="2"/>
                <w:sz w:val="25"/>
                <w:szCs w:val="25"/>
              </w:rPr>
              <w:t>γ</w:t>
            </w:r>
            <w:r>
              <w:rPr>
                <w:rFonts w:ascii="Arial" w:hAnsi="Arial" w:eastAsia="Arial" w:cs="Arial"/>
                <w:i/>
                <w:iCs/>
                <w:spacing w:val="-39"/>
                <w:position w:val="2"/>
                <w:sz w:val="25"/>
                <w:szCs w:val="25"/>
              </w:rPr>
              <w:t xml:space="preserve"> </w:t>
            </w:r>
            <w:r>
              <w:rPr>
                <w:rFonts w:ascii="Times New Roman" w:hAnsi="Times New Roman" w:eastAsia="Times New Roman" w:cs="Times New Roman"/>
                <w:position w:val="-3"/>
                <w:sz w:val="14"/>
                <w:szCs w:val="14"/>
              </w:rPr>
              <w:t>0</w:t>
            </w:r>
          </w:p>
        </w:tc>
      </w:tr>
    </w:tbl>
    <w:p w14:paraId="76854240">
      <w:pPr>
        <w:pStyle w:val="2"/>
      </w:pPr>
    </w:p>
    <w:p w14:paraId="7E849074">
      <w:pPr>
        <w:sectPr>
          <w:footerReference r:id="rId15" w:type="default"/>
          <w:pgSz w:w="11907" w:h="16839"/>
          <w:pgMar w:top="400" w:right="1609" w:bottom="743" w:left="1421" w:header="0" w:footer="582" w:gutter="0"/>
          <w:cols w:space="720" w:num="1"/>
        </w:sectPr>
      </w:pPr>
    </w:p>
    <w:p w14:paraId="5C33DDE4">
      <w:pPr>
        <w:spacing w:before="41"/>
      </w:pPr>
    </w:p>
    <w:p w14:paraId="6833E1AB">
      <w:pPr>
        <w:spacing w:before="41"/>
      </w:pPr>
    </w:p>
    <w:p w14:paraId="489F7BB3">
      <w:pPr>
        <w:spacing w:before="40"/>
      </w:pPr>
    </w:p>
    <w:tbl>
      <w:tblPr>
        <w:tblStyle w:val="5"/>
        <w:tblW w:w="8526" w:type="dxa"/>
        <w:tblInd w:w="2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1"/>
        <w:gridCol w:w="4497"/>
        <w:gridCol w:w="2678"/>
      </w:tblGrid>
      <w:tr w14:paraId="6A02C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51" w:type="dxa"/>
            <w:vAlign w:val="top"/>
          </w:tcPr>
          <w:p w14:paraId="6364FE90">
            <w:pPr>
              <w:pStyle w:val="6"/>
              <w:spacing w:before="293" w:line="222" w:lineRule="auto"/>
              <w:ind w:left="474"/>
            </w:pPr>
            <w:r>
              <w:rPr>
                <w:spacing w:val="-6"/>
              </w:rPr>
              <w:t>一级</w:t>
            </w:r>
          </w:p>
        </w:tc>
        <w:tc>
          <w:tcPr>
            <w:tcW w:w="4497" w:type="dxa"/>
            <w:vAlign w:val="top"/>
          </w:tcPr>
          <w:p w14:paraId="23D8A2AA">
            <w:pPr>
              <w:pStyle w:val="6"/>
              <w:spacing w:before="112" w:line="266" w:lineRule="auto"/>
              <w:ind w:left="1315" w:right="145" w:hanging="1160"/>
            </w:pPr>
            <w:r>
              <w:rPr>
                <w:spacing w:val="-1"/>
              </w:rPr>
              <w:t>支护结构破坏、土体变形对基坑周边环境及地</w:t>
            </w:r>
            <w:r>
              <w:rPr>
                <w:spacing w:val="9"/>
              </w:rPr>
              <w:t xml:space="preserve"> </w:t>
            </w:r>
            <w:r>
              <w:rPr>
                <w:spacing w:val="-2"/>
              </w:rPr>
              <w:t>下结构施工影响严重</w:t>
            </w:r>
          </w:p>
        </w:tc>
        <w:tc>
          <w:tcPr>
            <w:tcW w:w="2678" w:type="dxa"/>
            <w:vAlign w:val="top"/>
          </w:tcPr>
          <w:p w14:paraId="6994BA9C">
            <w:pPr>
              <w:spacing w:line="269" w:lineRule="auto"/>
              <w:rPr>
                <w:rFonts w:ascii="Arial"/>
                <w:sz w:val="21"/>
              </w:rPr>
            </w:pPr>
          </w:p>
          <w:p w14:paraId="32003DF3">
            <w:pPr>
              <w:spacing w:before="61" w:line="186" w:lineRule="auto"/>
              <w:ind w:left="115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1.1.0</w:t>
            </w:r>
          </w:p>
        </w:tc>
      </w:tr>
      <w:tr w14:paraId="644E6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1351" w:type="dxa"/>
            <w:vAlign w:val="top"/>
          </w:tcPr>
          <w:p w14:paraId="7E51B391">
            <w:pPr>
              <w:pStyle w:val="6"/>
              <w:spacing w:before="289" w:line="222" w:lineRule="auto"/>
              <w:ind w:left="474"/>
            </w:pPr>
            <w:r>
              <w:rPr>
                <w:spacing w:val="-3"/>
              </w:rPr>
              <w:t>二级</w:t>
            </w:r>
          </w:p>
        </w:tc>
        <w:tc>
          <w:tcPr>
            <w:tcW w:w="4497" w:type="dxa"/>
            <w:vAlign w:val="top"/>
          </w:tcPr>
          <w:p w14:paraId="06677B02">
            <w:pPr>
              <w:pStyle w:val="6"/>
              <w:spacing w:before="110" w:line="265" w:lineRule="auto"/>
              <w:ind w:left="1419" w:right="145" w:hanging="1264"/>
            </w:pPr>
            <w:r>
              <w:rPr>
                <w:spacing w:val="-1"/>
              </w:rPr>
              <w:t>支护结构破坏、土体变形基坑周边环境及地下</w:t>
            </w:r>
            <w:r>
              <w:rPr>
                <w:spacing w:val="9"/>
              </w:rPr>
              <w:t xml:space="preserve"> </w:t>
            </w:r>
            <w:r>
              <w:rPr>
                <w:spacing w:val="-2"/>
              </w:rPr>
              <w:t>结构施工影响一般</w:t>
            </w:r>
          </w:p>
        </w:tc>
        <w:tc>
          <w:tcPr>
            <w:tcW w:w="2678" w:type="dxa"/>
            <w:vAlign w:val="top"/>
          </w:tcPr>
          <w:p w14:paraId="5A5F9044">
            <w:pPr>
              <w:spacing w:line="266" w:lineRule="auto"/>
              <w:rPr>
                <w:rFonts w:ascii="Arial"/>
                <w:sz w:val="21"/>
              </w:rPr>
            </w:pPr>
          </w:p>
          <w:p w14:paraId="3E2DEDF6">
            <w:pPr>
              <w:spacing w:before="60" w:line="186" w:lineRule="auto"/>
              <w:ind w:left="1229"/>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1.0</w:t>
            </w:r>
          </w:p>
        </w:tc>
      </w:tr>
      <w:tr w14:paraId="4E20E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351" w:type="dxa"/>
            <w:vAlign w:val="top"/>
          </w:tcPr>
          <w:p w14:paraId="0A1668FB">
            <w:pPr>
              <w:pStyle w:val="6"/>
              <w:spacing w:before="291" w:line="222" w:lineRule="auto"/>
              <w:ind w:left="471"/>
            </w:pPr>
            <w:r>
              <w:rPr>
                <w:spacing w:val="-3"/>
              </w:rPr>
              <w:t>三级</w:t>
            </w:r>
          </w:p>
        </w:tc>
        <w:tc>
          <w:tcPr>
            <w:tcW w:w="4497" w:type="dxa"/>
            <w:vAlign w:val="top"/>
          </w:tcPr>
          <w:p w14:paraId="7813A5DB">
            <w:pPr>
              <w:pStyle w:val="6"/>
              <w:spacing w:before="111" w:line="267" w:lineRule="auto"/>
              <w:ind w:left="1210" w:right="145" w:hanging="1055"/>
            </w:pPr>
            <w:r>
              <w:rPr>
                <w:spacing w:val="-1"/>
              </w:rPr>
              <w:t>支护结构破坏、土体变形对基坑周边环境及地</w:t>
            </w:r>
            <w:r>
              <w:rPr>
                <w:spacing w:val="9"/>
              </w:rPr>
              <w:t xml:space="preserve"> </w:t>
            </w:r>
            <w:r>
              <w:rPr>
                <w:spacing w:val="-2"/>
              </w:rPr>
              <w:t>下结构施工影响不严重</w:t>
            </w:r>
          </w:p>
        </w:tc>
        <w:tc>
          <w:tcPr>
            <w:tcW w:w="2678" w:type="dxa"/>
            <w:vAlign w:val="top"/>
          </w:tcPr>
          <w:p w14:paraId="1F59ECC3">
            <w:pPr>
              <w:spacing w:line="268" w:lineRule="auto"/>
              <w:rPr>
                <w:rFonts w:ascii="Arial"/>
                <w:sz w:val="21"/>
              </w:rPr>
            </w:pPr>
          </w:p>
          <w:p w14:paraId="638A2842">
            <w:pPr>
              <w:spacing w:before="60" w:line="186" w:lineRule="auto"/>
              <w:ind w:left="121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0.9</w:t>
            </w:r>
          </w:p>
        </w:tc>
      </w:tr>
    </w:tbl>
    <w:p w14:paraId="12839CA6">
      <w:pPr>
        <w:spacing w:before="145" w:line="279" w:lineRule="auto"/>
        <w:ind w:left="3" w:firstLine="470"/>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当支承结构作为永久结构时，其结构安全等级和重要性系数不</w:t>
      </w:r>
      <w:r>
        <w:rPr>
          <w:rFonts w:ascii="宋体" w:hAnsi="宋体" w:eastAsia="宋体" w:cs="宋体"/>
          <w:strike/>
          <w:spacing w:val="-1"/>
          <w:sz w:val="24"/>
          <w:szCs w:val="24"/>
        </w:rPr>
        <w:t>得小于地下结构</w:t>
      </w:r>
      <w:r>
        <w:rPr>
          <w:rFonts w:ascii="宋体" w:hAnsi="宋体" w:eastAsia="宋体" w:cs="宋体"/>
          <w:sz w:val="24"/>
          <w:szCs w:val="24"/>
        </w:rPr>
        <w:t xml:space="preserve"> </w:t>
      </w:r>
      <w:r>
        <w:rPr>
          <w:rFonts w:ascii="宋体" w:hAnsi="宋体" w:eastAsia="宋体" w:cs="宋体"/>
          <w:strike/>
          <w:spacing w:val="-2"/>
          <w:sz w:val="24"/>
          <w:szCs w:val="24"/>
        </w:rPr>
        <w:t>安全等级和重要性系数；</w:t>
      </w:r>
    </w:p>
    <w:p w14:paraId="030EF5DC">
      <w:pPr>
        <w:spacing w:before="154" w:line="279" w:lineRule="auto"/>
        <w:ind w:firstLine="478"/>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支承结构安全等级和重要性系数应按施工与使用两个</w:t>
      </w:r>
      <w:r>
        <w:rPr>
          <w:rFonts w:ascii="宋体" w:hAnsi="宋体" w:eastAsia="宋体" w:cs="宋体"/>
          <w:strike/>
          <w:spacing w:val="-1"/>
          <w:sz w:val="24"/>
          <w:szCs w:val="24"/>
        </w:rPr>
        <w:t>阶段选用较高的结构安全</w:t>
      </w:r>
      <w:r>
        <w:rPr>
          <w:rFonts w:ascii="宋体" w:hAnsi="宋体" w:eastAsia="宋体" w:cs="宋体"/>
          <w:sz w:val="24"/>
          <w:szCs w:val="24"/>
        </w:rPr>
        <w:t xml:space="preserve"> </w:t>
      </w:r>
      <w:r>
        <w:rPr>
          <w:rFonts w:ascii="宋体" w:hAnsi="宋体" w:eastAsia="宋体" w:cs="宋体"/>
          <w:strike/>
          <w:spacing w:val="-2"/>
          <w:sz w:val="24"/>
          <w:szCs w:val="24"/>
        </w:rPr>
        <w:t>等级和重要性系数；</w:t>
      </w:r>
    </w:p>
    <w:p w14:paraId="0B03962A">
      <w:pPr>
        <w:spacing w:before="153" w:line="299" w:lineRule="auto"/>
        <w:ind w:left="3" w:firstLine="469"/>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当地下逆作结构的部分构件只作为临时结构构件的</w:t>
      </w:r>
      <w:r>
        <w:rPr>
          <w:rFonts w:ascii="宋体" w:hAnsi="宋体" w:eastAsia="宋体" w:cs="宋体"/>
          <w:sz w:val="24"/>
          <w:szCs w:val="24"/>
        </w:rPr>
        <w:t>一</w:t>
      </w:r>
      <w:r>
        <w:rPr>
          <w:rFonts w:ascii="宋体" w:hAnsi="宋体" w:eastAsia="宋体" w:cs="宋体"/>
          <w:strike/>
          <w:sz w:val="24"/>
          <w:szCs w:val="24"/>
        </w:rPr>
        <w:t>部分时，应按</w:t>
      </w:r>
      <w:r>
        <w:rPr>
          <w:rFonts w:ascii="宋体" w:hAnsi="宋体" w:eastAsia="宋体" w:cs="宋体"/>
          <w:strike/>
          <w:spacing w:val="-1"/>
          <w:sz w:val="24"/>
          <w:szCs w:val="24"/>
        </w:rPr>
        <w:t>临时结构的</w:t>
      </w:r>
      <w:r>
        <w:rPr>
          <w:rFonts w:ascii="宋体" w:hAnsi="宋体" w:eastAsia="宋体" w:cs="宋体"/>
          <w:sz w:val="24"/>
          <w:szCs w:val="24"/>
        </w:rPr>
        <w:t xml:space="preserve"> </w:t>
      </w:r>
      <w:r>
        <w:rPr>
          <w:rFonts w:ascii="宋体" w:hAnsi="宋体" w:eastAsia="宋体" w:cs="宋体"/>
          <w:strike/>
          <w:sz w:val="24"/>
          <w:szCs w:val="24"/>
        </w:rPr>
        <w:t>安全等级及结构的重要性系数取用。当形成最终</w:t>
      </w:r>
      <w:r>
        <w:rPr>
          <w:rFonts w:ascii="宋体" w:hAnsi="宋体" w:eastAsia="宋体" w:cs="宋体"/>
          <w:strike/>
          <w:spacing w:val="-1"/>
          <w:sz w:val="24"/>
          <w:szCs w:val="24"/>
        </w:rPr>
        <w:t>永久结构的构件时，应按永久结构的</w:t>
      </w:r>
      <w:r>
        <w:rPr>
          <w:rFonts w:ascii="宋体" w:hAnsi="宋体" w:eastAsia="宋体" w:cs="宋体"/>
          <w:sz w:val="24"/>
          <w:szCs w:val="24"/>
        </w:rPr>
        <w:t xml:space="preserve"> </w:t>
      </w:r>
      <w:r>
        <w:rPr>
          <w:rFonts w:ascii="宋体" w:hAnsi="宋体" w:eastAsia="宋体" w:cs="宋体"/>
          <w:strike/>
          <w:spacing w:val="-1"/>
          <w:sz w:val="24"/>
          <w:szCs w:val="24"/>
        </w:rPr>
        <w:t>安全等级及结构的重要性系数取用。</w:t>
      </w:r>
    </w:p>
    <w:p w14:paraId="5C00A697">
      <w:pPr>
        <w:spacing w:before="154" w:line="341" w:lineRule="auto"/>
        <w:ind w:left="2" w:hanging="2"/>
        <w:rPr>
          <w:rFonts w:ascii="宋体" w:hAnsi="宋体" w:eastAsia="宋体" w:cs="宋体"/>
          <w:sz w:val="24"/>
          <w:szCs w:val="24"/>
        </w:rPr>
      </w:pPr>
      <w:r>
        <w:rPr>
          <w:rFonts w:ascii="Times New Roman" w:hAnsi="Times New Roman" w:eastAsia="Times New Roman" w:cs="Times New Roman"/>
          <w:strike/>
          <w:sz w:val="24"/>
          <w:szCs w:val="24"/>
        </w:rPr>
        <w:t xml:space="preserve">6.6.3    </w:t>
      </w:r>
      <w:r>
        <w:rPr>
          <w:rFonts w:ascii="宋体" w:hAnsi="宋体" w:eastAsia="宋体" w:cs="宋体"/>
          <w:strike/>
          <w:sz w:val="24"/>
          <w:szCs w:val="24"/>
        </w:rPr>
        <w:t>当水平结构作为周边围护结构的水平支承时，其后</w:t>
      </w:r>
      <w:r>
        <w:rPr>
          <w:rFonts w:ascii="宋体" w:hAnsi="宋体" w:eastAsia="宋体" w:cs="宋体"/>
          <w:strike/>
          <w:spacing w:val="-1"/>
          <w:sz w:val="24"/>
          <w:szCs w:val="24"/>
        </w:rPr>
        <w:t>浇带处应按设计要求设置传</w:t>
      </w:r>
      <w:r>
        <w:rPr>
          <w:rFonts w:ascii="宋体" w:hAnsi="宋体" w:eastAsia="宋体" w:cs="宋体"/>
          <w:sz w:val="24"/>
          <w:szCs w:val="24"/>
        </w:rPr>
        <w:t xml:space="preserve"> </w:t>
      </w:r>
      <w:r>
        <w:rPr>
          <w:rFonts w:ascii="宋体" w:hAnsi="宋体" w:eastAsia="宋体" w:cs="宋体"/>
          <w:strike/>
          <w:spacing w:val="1"/>
          <w:sz w:val="24"/>
          <w:szCs w:val="24"/>
        </w:rPr>
        <w:t>力构件。</w:t>
      </w:r>
      <w:r>
        <w:rPr>
          <w:rFonts w:ascii="宋体" w:hAnsi="宋体" w:eastAsia="宋体" w:cs="宋体"/>
          <w:spacing w:val="1"/>
          <w:sz w:val="24"/>
          <w:szCs w:val="24"/>
        </w:rPr>
        <w:t>【</w:t>
      </w:r>
      <w:r>
        <w:rPr>
          <w:rFonts w:ascii="宋体" w:hAnsi="宋体" w:eastAsia="宋体" w:cs="宋体"/>
          <w:b/>
          <w:bCs/>
          <w:color w:val="FF0000"/>
          <w:spacing w:val="1"/>
          <w:sz w:val="24"/>
          <w:szCs w:val="24"/>
        </w:rPr>
        <w:t>以下条目已被</w:t>
      </w:r>
      <w:r>
        <w:rPr>
          <w:rFonts w:ascii="宋体" w:hAnsi="宋体" w:eastAsia="宋体" w:cs="宋体"/>
          <w:spacing w:val="1"/>
          <w:sz w:val="24"/>
          <w:szCs w:val="24"/>
        </w:rPr>
        <w:t>《</w:t>
      </w:r>
      <w:r>
        <w:rPr>
          <w:rFonts w:ascii="宋体" w:hAnsi="宋体" w:eastAsia="宋体" w:cs="宋体"/>
          <w:color w:val="0563C1"/>
          <w:spacing w:val="1"/>
          <w:sz w:val="24"/>
          <w:szCs w:val="24"/>
          <w:u w:val="single" w:color="auto"/>
        </w:rPr>
        <w:t>建筑与市政地基基础通用规范》</w:t>
      </w:r>
      <w:r>
        <w:rPr>
          <w:rFonts w:ascii="Times New Roman" w:hAnsi="Times New Roman" w:eastAsia="Times New Roman" w:cs="Times New Roman"/>
          <w:color w:val="0563C1"/>
          <w:sz w:val="24"/>
          <w:szCs w:val="24"/>
          <w:u w:val="single" w:color="auto"/>
        </w:rPr>
        <w:t>GB</w:t>
      </w:r>
      <w:r>
        <w:rPr>
          <w:rFonts w:ascii="Times New Roman" w:hAnsi="Times New Roman" w:eastAsia="Times New Roman" w:cs="Times New Roman"/>
          <w:color w:val="0563C1"/>
          <w:spacing w:val="1"/>
          <w:sz w:val="24"/>
          <w:szCs w:val="24"/>
          <w:u w:val="single" w:color="auto"/>
        </w:rPr>
        <w:t>55003-2</w:t>
      </w:r>
      <w:r>
        <w:rPr>
          <w:rFonts w:ascii="Times New Roman" w:hAnsi="Times New Roman" w:eastAsia="Times New Roman" w:cs="Times New Roman"/>
          <w:color w:val="0563C1"/>
          <w:sz w:val="24"/>
          <w:szCs w:val="24"/>
          <w:u w:val="single" w:color="auto"/>
        </w:rPr>
        <w:t>021</w:t>
      </w:r>
      <w:r>
        <w:rPr>
          <w:rFonts w:ascii="宋体" w:hAnsi="宋体" w:eastAsia="宋体" w:cs="宋体"/>
          <w:b/>
          <w:bCs/>
          <w:color w:val="FF0000"/>
          <w:sz w:val="24"/>
          <w:szCs w:val="24"/>
        </w:rPr>
        <w:t>替代</w:t>
      </w:r>
      <w:r>
        <w:rPr>
          <w:rFonts w:ascii="宋体" w:hAnsi="宋体" w:eastAsia="宋体" w:cs="宋体"/>
          <w:sz w:val="24"/>
          <w:szCs w:val="24"/>
        </w:rPr>
        <w:t>】</w:t>
      </w:r>
    </w:p>
    <w:p w14:paraId="6D32A5D5">
      <w:pPr>
        <w:spacing w:line="341" w:lineRule="auto"/>
        <w:rPr>
          <w:rFonts w:ascii="宋体" w:hAnsi="宋体" w:eastAsia="宋体" w:cs="宋体"/>
          <w:sz w:val="24"/>
          <w:szCs w:val="24"/>
        </w:rPr>
        <w:sectPr>
          <w:footerReference r:id="rId16" w:type="default"/>
          <w:pgSz w:w="11907" w:h="16839"/>
          <w:pgMar w:top="400" w:right="1609" w:bottom="743" w:left="1427" w:header="0" w:footer="582" w:gutter="0"/>
          <w:cols w:space="720" w:num="1"/>
        </w:sectPr>
      </w:pPr>
    </w:p>
    <w:p w14:paraId="73078AEF">
      <w:pPr>
        <w:pStyle w:val="2"/>
        <w:spacing w:line="308" w:lineRule="auto"/>
      </w:pPr>
    </w:p>
    <w:p w14:paraId="66E1413F">
      <w:pPr>
        <w:pStyle w:val="2"/>
        <w:spacing w:line="309" w:lineRule="auto"/>
      </w:pPr>
    </w:p>
    <w:p w14:paraId="528DB153">
      <w:pPr>
        <w:pStyle w:val="2"/>
        <w:spacing w:line="309" w:lineRule="auto"/>
      </w:pPr>
    </w:p>
    <w:p w14:paraId="5CAD1AAD">
      <w:pPr>
        <w:spacing w:before="88" w:line="227" w:lineRule="auto"/>
        <w:ind w:left="11"/>
        <w:outlineLvl w:val="0"/>
        <w:rPr>
          <w:rFonts w:ascii="宋体" w:hAnsi="宋体" w:eastAsia="宋体" w:cs="宋体"/>
          <w:sz w:val="27"/>
          <w:szCs w:val="27"/>
        </w:rPr>
      </w:pPr>
      <w:bookmarkStart w:id="15" w:name="bookmark64"/>
      <w:bookmarkEnd w:id="15"/>
      <w:r>
        <w:rPr>
          <w:rFonts w:ascii="宋体" w:hAnsi="宋体" w:eastAsia="宋体" w:cs="宋体"/>
          <w:b/>
          <w:bCs/>
          <w:spacing w:val="5"/>
          <w:sz w:val="27"/>
          <w:szCs w:val="27"/>
        </w:rPr>
        <w:t>二、主体结构</w:t>
      </w:r>
    </w:p>
    <w:p w14:paraId="6E89C2AC">
      <w:pPr>
        <w:spacing w:before="312" w:line="226" w:lineRule="auto"/>
        <w:ind w:left="14"/>
        <w:outlineLvl w:val="1"/>
        <w:rPr>
          <w:rFonts w:ascii="宋体" w:hAnsi="宋体" w:eastAsia="宋体" w:cs="宋体"/>
          <w:sz w:val="27"/>
          <w:szCs w:val="27"/>
        </w:rPr>
      </w:pPr>
      <w:bookmarkStart w:id="16" w:name="bookmark65"/>
      <w:bookmarkEnd w:id="16"/>
      <w:r>
        <w:rPr>
          <w:rFonts w:ascii="Times New Roman" w:hAnsi="Times New Roman" w:eastAsia="Times New Roman" w:cs="Times New Roman"/>
          <w:b/>
          <w:bCs/>
          <w:spacing w:val="6"/>
          <w:sz w:val="27"/>
          <w:szCs w:val="27"/>
        </w:rPr>
        <w:t>1.</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50078-2008  </w:t>
      </w:r>
      <w:r>
        <w:rPr>
          <w:rFonts w:ascii="宋体" w:hAnsi="宋体" w:eastAsia="宋体" w:cs="宋体"/>
          <w:b/>
          <w:bCs/>
          <w:spacing w:val="6"/>
          <w:sz w:val="27"/>
          <w:szCs w:val="27"/>
        </w:rPr>
        <w:t>烟囱工程施</w:t>
      </w:r>
      <w:r>
        <w:rPr>
          <w:rFonts w:ascii="宋体" w:hAnsi="宋体" w:eastAsia="宋体" w:cs="宋体"/>
          <w:b/>
          <w:bCs/>
          <w:spacing w:val="5"/>
          <w:sz w:val="27"/>
          <w:szCs w:val="27"/>
        </w:rPr>
        <w:t>工及验收规范</w:t>
      </w:r>
    </w:p>
    <w:p w14:paraId="4FE5C442">
      <w:pPr>
        <w:spacing w:before="252" w:line="360" w:lineRule="auto"/>
        <w:ind w:left="4" w:right="119" w:firstLine="1"/>
        <w:rPr>
          <w:rFonts w:ascii="宋体" w:hAnsi="宋体" w:eastAsia="宋体" w:cs="宋体"/>
          <w:sz w:val="24"/>
          <w:szCs w:val="24"/>
        </w:rPr>
      </w:pPr>
      <w:r>
        <w:rPr>
          <w:rFonts w:ascii="Times New Roman" w:hAnsi="Times New Roman" w:eastAsia="Times New Roman" w:cs="Times New Roman"/>
          <w:sz w:val="24"/>
          <w:szCs w:val="24"/>
        </w:rPr>
        <w:t xml:space="preserve">3.0.8    </w:t>
      </w:r>
      <w:r>
        <w:rPr>
          <w:rFonts w:ascii="宋体" w:hAnsi="宋体" w:eastAsia="宋体" w:cs="宋体"/>
          <w:sz w:val="24"/>
          <w:szCs w:val="24"/>
        </w:rPr>
        <w:t>经返修或加固处理仍不能满足烟囱安全使用要求的分</w:t>
      </w:r>
      <w:r>
        <w:rPr>
          <w:rFonts w:ascii="宋体" w:hAnsi="宋体" w:eastAsia="宋体" w:cs="宋体"/>
          <w:spacing w:val="-1"/>
          <w:sz w:val="24"/>
          <w:szCs w:val="24"/>
        </w:rPr>
        <w:t>部工程和单位工程，严禁</w:t>
      </w:r>
      <w:r>
        <w:rPr>
          <w:rFonts w:ascii="宋体" w:hAnsi="宋体" w:eastAsia="宋体" w:cs="宋体"/>
          <w:sz w:val="24"/>
          <w:szCs w:val="24"/>
        </w:rPr>
        <w:t xml:space="preserve"> </w:t>
      </w:r>
      <w:r>
        <w:rPr>
          <w:rFonts w:ascii="宋体" w:hAnsi="宋体" w:eastAsia="宋体" w:cs="宋体"/>
          <w:spacing w:val="-10"/>
          <w:sz w:val="24"/>
          <w:szCs w:val="24"/>
        </w:rPr>
        <w:t>验收。</w:t>
      </w:r>
    </w:p>
    <w:p w14:paraId="5AA65B2D">
      <w:pPr>
        <w:spacing w:line="360" w:lineRule="auto"/>
        <w:ind w:left="6" w:right="119"/>
        <w:jc w:val="both"/>
        <w:rPr>
          <w:rFonts w:ascii="宋体" w:hAnsi="宋体" w:eastAsia="宋体" w:cs="宋体"/>
          <w:sz w:val="24"/>
          <w:szCs w:val="24"/>
        </w:rPr>
      </w:pPr>
      <w:r>
        <w:rPr>
          <w:rFonts w:ascii="Times New Roman" w:hAnsi="Times New Roman" w:eastAsia="Times New Roman" w:cs="Times New Roman"/>
          <w:sz w:val="24"/>
          <w:szCs w:val="24"/>
        </w:rPr>
        <w:t xml:space="preserve">3.09    </w:t>
      </w:r>
      <w:r>
        <w:rPr>
          <w:rFonts w:ascii="宋体" w:hAnsi="宋体" w:eastAsia="宋体" w:cs="宋体"/>
          <w:sz w:val="24"/>
          <w:szCs w:val="24"/>
        </w:rPr>
        <w:t>烟囱工程所用的材料应有产品合格证书或产品性能检</w:t>
      </w:r>
      <w:r>
        <w:rPr>
          <w:rFonts w:ascii="宋体" w:hAnsi="宋体" w:eastAsia="宋体" w:cs="宋体"/>
          <w:spacing w:val="-1"/>
          <w:sz w:val="24"/>
          <w:szCs w:val="24"/>
        </w:rPr>
        <w:t>测报告。水泥、砂石、钢</w:t>
      </w:r>
      <w:r>
        <w:rPr>
          <w:rFonts w:ascii="宋体" w:hAnsi="宋体" w:eastAsia="宋体" w:cs="宋体"/>
          <w:sz w:val="24"/>
          <w:szCs w:val="24"/>
        </w:rPr>
        <w:t xml:space="preserve"> 筋、外加剂、耐酸材料等尚应有材料主要性能复验报告。</w:t>
      </w:r>
      <w:r>
        <w:rPr>
          <w:rFonts w:ascii="宋体" w:hAnsi="宋体" w:eastAsia="宋体" w:cs="宋体"/>
          <w:spacing w:val="-1"/>
          <w:sz w:val="24"/>
          <w:szCs w:val="24"/>
        </w:rPr>
        <w:t>钢材的复检应符合现行国家</w:t>
      </w:r>
      <w:r>
        <w:rPr>
          <w:rFonts w:ascii="宋体" w:hAnsi="宋体" w:eastAsia="宋体" w:cs="宋体"/>
          <w:sz w:val="24"/>
          <w:szCs w:val="24"/>
        </w:rPr>
        <w:t xml:space="preserve"> </w:t>
      </w:r>
      <w:r>
        <w:rPr>
          <w:rFonts w:ascii="宋体" w:hAnsi="宋体" w:eastAsia="宋体" w:cs="宋体"/>
          <w:spacing w:val="-2"/>
          <w:sz w:val="24"/>
          <w:szCs w:val="24"/>
        </w:rPr>
        <w:t>标准《钢结构工程施工质量验收规范》</w:t>
      </w:r>
      <w:r>
        <w:rPr>
          <w:rFonts w:ascii="Times New Roman" w:hAnsi="Times New Roman" w:eastAsia="Times New Roman" w:cs="Times New Roman"/>
          <w:spacing w:val="-2"/>
          <w:sz w:val="24"/>
          <w:szCs w:val="24"/>
        </w:rPr>
        <w:t>GB50205</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w:t>
      </w:r>
      <w:r>
        <w:rPr>
          <w:rFonts w:ascii="宋体" w:hAnsi="宋体" w:eastAsia="宋体" w:cs="宋体"/>
          <w:spacing w:val="-3"/>
          <w:sz w:val="24"/>
          <w:szCs w:val="24"/>
        </w:rPr>
        <w:t>有关规定。</w:t>
      </w:r>
    </w:p>
    <w:p w14:paraId="06FC2A6F">
      <w:pPr>
        <w:spacing w:before="1" w:line="218"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4.1.3    </w:t>
      </w:r>
      <w:r>
        <w:rPr>
          <w:rFonts w:ascii="宋体" w:hAnsi="宋体" w:eastAsia="宋体" w:cs="宋体"/>
          <w:spacing w:val="-1"/>
          <w:sz w:val="24"/>
          <w:szCs w:val="24"/>
        </w:rPr>
        <w:t>天然地基基底表面应平整，严禁采用填土的方法找平基坑底面。</w:t>
      </w:r>
    </w:p>
    <w:p w14:paraId="31A75F0D">
      <w:pPr>
        <w:spacing w:before="183" w:line="290" w:lineRule="auto"/>
        <w:ind w:left="8" w:right="119" w:hanging="2"/>
        <w:rPr>
          <w:rFonts w:ascii="宋体" w:hAnsi="宋体" w:eastAsia="宋体" w:cs="宋体"/>
          <w:sz w:val="24"/>
          <w:szCs w:val="24"/>
        </w:rPr>
      </w:pPr>
      <w:r>
        <w:rPr>
          <w:rFonts w:ascii="Times New Roman" w:hAnsi="Times New Roman" w:eastAsia="Times New Roman" w:cs="Times New Roman"/>
          <w:sz w:val="24"/>
          <w:szCs w:val="24"/>
        </w:rPr>
        <w:t xml:space="preserve">6.1.4    </w:t>
      </w:r>
      <w:r>
        <w:rPr>
          <w:rFonts w:ascii="宋体" w:hAnsi="宋体" w:eastAsia="宋体" w:cs="宋体"/>
          <w:sz w:val="24"/>
          <w:szCs w:val="24"/>
        </w:rPr>
        <w:t>采用滑动模板工艺施工时，混凝土在脱模后不应坍</w:t>
      </w:r>
      <w:r>
        <w:rPr>
          <w:rFonts w:ascii="宋体" w:hAnsi="宋体" w:eastAsia="宋体" w:cs="宋体"/>
          <w:spacing w:val="-1"/>
          <w:sz w:val="24"/>
          <w:szCs w:val="24"/>
        </w:rPr>
        <w:t>落，不应拉裂，其脱模强度</w:t>
      </w:r>
      <w:r>
        <w:rPr>
          <w:rFonts w:ascii="宋体" w:hAnsi="宋体" w:eastAsia="宋体" w:cs="宋体"/>
          <w:sz w:val="24"/>
          <w:szCs w:val="24"/>
        </w:rPr>
        <w:t xml:space="preserve"> </w:t>
      </w:r>
      <w:r>
        <w:rPr>
          <w:rFonts w:ascii="宋体" w:hAnsi="宋体" w:eastAsia="宋体" w:cs="宋体"/>
          <w:spacing w:val="-2"/>
          <w:sz w:val="24"/>
          <w:szCs w:val="24"/>
        </w:rPr>
        <w:t>不得低于</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0.2MPa</w:t>
      </w:r>
      <w:r>
        <w:rPr>
          <w:rFonts w:ascii="宋体" w:hAnsi="宋体" w:eastAsia="宋体" w:cs="宋体"/>
          <w:spacing w:val="-2"/>
          <w:sz w:val="24"/>
          <w:szCs w:val="24"/>
        </w:rPr>
        <w:t>。</w:t>
      </w:r>
    </w:p>
    <w:p w14:paraId="1691035C">
      <w:pPr>
        <w:spacing w:before="182" w:line="290" w:lineRule="auto"/>
        <w:ind w:left="6" w:right="119"/>
        <w:rPr>
          <w:rFonts w:ascii="宋体" w:hAnsi="宋体" w:eastAsia="宋体" w:cs="宋体"/>
          <w:sz w:val="24"/>
          <w:szCs w:val="24"/>
        </w:rPr>
      </w:pPr>
      <w:r>
        <w:rPr>
          <w:rFonts w:ascii="Times New Roman" w:hAnsi="Times New Roman" w:eastAsia="Times New Roman" w:cs="Times New Roman"/>
          <w:sz w:val="24"/>
          <w:szCs w:val="24"/>
        </w:rPr>
        <w:t xml:space="preserve">6.1.5    </w:t>
      </w:r>
      <w:r>
        <w:rPr>
          <w:rFonts w:ascii="宋体" w:hAnsi="宋体" w:eastAsia="宋体" w:cs="宋体"/>
          <w:sz w:val="24"/>
          <w:szCs w:val="24"/>
        </w:rPr>
        <w:t>采用电动（液压）提模工艺施工时，受力层混凝土</w:t>
      </w:r>
      <w:r>
        <w:rPr>
          <w:rFonts w:ascii="宋体" w:hAnsi="宋体" w:eastAsia="宋体" w:cs="宋体"/>
          <w:spacing w:val="-1"/>
          <w:sz w:val="24"/>
          <w:szCs w:val="24"/>
        </w:rPr>
        <w:t>的强度值应根据平台荷载经</w:t>
      </w:r>
      <w:r>
        <w:rPr>
          <w:rFonts w:ascii="宋体" w:hAnsi="宋体" w:eastAsia="宋体" w:cs="宋体"/>
          <w:sz w:val="24"/>
          <w:szCs w:val="24"/>
        </w:rPr>
        <w:t xml:space="preserve"> </w:t>
      </w:r>
      <w:r>
        <w:rPr>
          <w:rFonts w:ascii="宋体" w:hAnsi="宋体" w:eastAsia="宋体" w:cs="宋体"/>
          <w:spacing w:val="-3"/>
          <w:sz w:val="24"/>
          <w:szCs w:val="24"/>
        </w:rPr>
        <w:t>过计算确定，低于该值时不得提升平台。</w:t>
      </w:r>
    </w:p>
    <w:p w14:paraId="02900AA1">
      <w:pPr>
        <w:spacing w:before="182"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6.3.1    </w:t>
      </w:r>
      <w:r>
        <w:rPr>
          <w:rFonts w:ascii="宋体" w:hAnsi="宋体" w:eastAsia="宋体" w:cs="宋体"/>
          <w:spacing w:val="-1"/>
          <w:sz w:val="24"/>
          <w:szCs w:val="24"/>
        </w:rPr>
        <w:t>模板及其支撑结构必须满足承载力、</w:t>
      </w:r>
      <w:r>
        <w:rPr>
          <w:rFonts w:ascii="宋体" w:hAnsi="宋体" w:eastAsia="宋体" w:cs="宋体"/>
          <w:spacing w:val="-2"/>
          <w:sz w:val="24"/>
          <w:szCs w:val="24"/>
        </w:rPr>
        <w:t>刚度和稳定性的要求。</w:t>
      </w:r>
    </w:p>
    <w:p w14:paraId="54A34BC9">
      <w:pPr>
        <w:spacing w:before="183" w:line="220" w:lineRule="auto"/>
        <w:ind w:left="10"/>
        <w:rPr>
          <w:rFonts w:ascii="宋体" w:hAnsi="宋体" w:eastAsia="宋体" w:cs="宋体"/>
          <w:sz w:val="24"/>
          <w:szCs w:val="24"/>
        </w:rPr>
      </w:pPr>
      <w:r>
        <w:rPr>
          <w:rFonts w:ascii="Times New Roman" w:hAnsi="Times New Roman" w:eastAsia="Times New Roman" w:cs="Times New Roman"/>
          <w:spacing w:val="-1"/>
          <w:sz w:val="24"/>
          <w:szCs w:val="24"/>
        </w:rPr>
        <w:t xml:space="preserve">8.1.2    </w:t>
      </w:r>
      <w:r>
        <w:rPr>
          <w:rFonts w:ascii="宋体" w:hAnsi="宋体" w:eastAsia="宋体" w:cs="宋体"/>
          <w:spacing w:val="-1"/>
          <w:sz w:val="24"/>
          <w:szCs w:val="24"/>
        </w:rPr>
        <w:t>当烟囱平台作为吊装平台时，烟囱平台应进行承载能力、变形和</w:t>
      </w:r>
      <w:r>
        <w:rPr>
          <w:rFonts w:ascii="宋体" w:hAnsi="宋体" w:eastAsia="宋体" w:cs="宋体"/>
          <w:spacing w:val="-2"/>
          <w:sz w:val="24"/>
          <w:szCs w:val="24"/>
        </w:rPr>
        <w:t>稳定性验算。</w:t>
      </w:r>
    </w:p>
    <w:p w14:paraId="334FA457">
      <w:pPr>
        <w:spacing w:before="182" w:line="220" w:lineRule="auto"/>
        <w:ind w:left="24"/>
        <w:rPr>
          <w:rFonts w:ascii="宋体" w:hAnsi="宋体" w:eastAsia="宋体" w:cs="宋体"/>
          <w:sz w:val="24"/>
          <w:szCs w:val="24"/>
        </w:rPr>
      </w:pPr>
      <w:r>
        <w:rPr>
          <w:rFonts w:ascii="Times New Roman" w:hAnsi="Times New Roman" w:eastAsia="Times New Roman" w:cs="Times New Roman"/>
          <w:spacing w:val="-2"/>
          <w:sz w:val="24"/>
          <w:szCs w:val="24"/>
        </w:rPr>
        <w:t xml:space="preserve">11.0.5    </w:t>
      </w:r>
      <w:r>
        <w:rPr>
          <w:rFonts w:ascii="宋体" w:hAnsi="宋体" w:eastAsia="宋体" w:cs="宋体"/>
          <w:spacing w:val="-2"/>
          <w:sz w:val="24"/>
          <w:szCs w:val="24"/>
        </w:rPr>
        <w:t>避雷器安装完成后，应检查接地电阻，接地电阻的数值应符合设计要求。</w:t>
      </w:r>
    </w:p>
    <w:p w14:paraId="5780773C">
      <w:pPr>
        <w:spacing w:before="184" w:line="290" w:lineRule="auto"/>
        <w:ind w:left="9" w:firstLine="14"/>
        <w:rPr>
          <w:rFonts w:ascii="宋体" w:hAnsi="宋体" w:eastAsia="宋体" w:cs="宋体"/>
          <w:sz w:val="24"/>
          <w:szCs w:val="24"/>
        </w:rPr>
      </w:pPr>
      <w:r>
        <w:rPr>
          <w:rFonts w:ascii="Times New Roman" w:hAnsi="Times New Roman" w:eastAsia="Times New Roman" w:cs="Times New Roman"/>
          <w:spacing w:val="-1"/>
          <w:sz w:val="24"/>
          <w:szCs w:val="24"/>
        </w:rPr>
        <w:t xml:space="preserve">13.0.5    </w:t>
      </w:r>
      <w:r>
        <w:rPr>
          <w:rFonts w:ascii="宋体" w:hAnsi="宋体" w:eastAsia="宋体" w:cs="宋体"/>
          <w:spacing w:val="-1"/>
          <w:sz w:val="24"/>
          <w:szCs w:val="24"/>
        </w:rPr>
        <w:t>工作台周围应设置围栏和安全网，内外吊梯的外侧和底部以及工作台底部均应</w:t>
      </w:r>
      <w:r>
        <w:rPr>
          <w:rFonts w:ascii="宋体" w:hAnsi="宋体" w:eastAsia="宋体" w:cs="宋体"/>
          <w:spacing w:val="14"/>
          <w:sz w:val="24"/>
          <w:szCs w:val="24"/>
        </w:rPr>
        <w:t xml:space="preserve"> </w:t>
      </w:r>
      <w:r>
        <w:rPr>
          <w:rFonts w:ascii="宋体" w:hAnsi="宋体" w:eastAsia="宋体" w:cs="宋体"/>
          <w:spacing w:val="-7"/>
          <w:sz w:val="24"/>
          <w:szCs w:val="24"/>
        </w:rPr>
        <w:t>设置安全网。</w:t>
      </w:r>
    </w:p>
    <w:p w14:paraId="61BCBCB0">
      <w:pPr>
        <w:spacing w:before="180" w:line="220" w:lineRule="auto"/>
        <w:ind w:left="483"/>
        <w:rPr>
          <w:rFonts w:ascii="宋体" w:hAnsi="宋体" w:eastAsia="宋体" w:cs="宋体"/>
          <w:sz w:val="24"/>
          <w:szCs w:val="24"/>
        </w:rPr>
      </w:pPr>
      <w:r>
        <w:rPr>
          <w:rFonts w:ascii="宋体" w:hAnsi="宋体" w:eastAsia="宋体" w:cs="宋体"/>
          <w:spacing w:val="-2"/>
          <w:sz w:val="24"/>
          <w:szCs w:val="24"/>
        </w:rPr>
        <w:t>钢管竖井架人行出入口的四周应设置金属保护网。</w:t>
      </w:r>
    </w:p>
    <w:p w14:paraId="47AE2740">
      <w:pPr>
        <w:spacing w:before="182" w:line="362" w:lineRule="auto"/>
        <w:ind w:left="5" w:right="68"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13.0.11    </w:t>
      </w:r>
      <w:r>
        <w:rPr>
          <w:rFonts w:ascii="宋体" w:hAnsi="宋体" w:eastAsia="宋体" w:cs="宋体"/>
          <w:spacing w:val="-1"/>
          <w:sz w:val="24"/>
          <w:szCs w:val="24"/>
        </w:rPr>
        <w:t>采用电动（液压）提模或滑动模板工艺</w:t>
      </w:r>
      <w:r>
        <w:rPr>
          <w:rFonts w:ascii="宋体" w:hAnsi="宋体" w:eastAsia="宋体" w:cs="宋体"/>
          <w:spacing w:val="-2"/>
          <w:sz w:val="24"/>
          <w:szCs w:val="24"/>
        </w:rPr>
        <w:t>施工时，提模或滑升前应做</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 xml:space="preserve">1.25 </w:t>
      </w:r>
      <w:r>
        <w:rPr>
          <w:rFonts w:ascii="宋体" w:hAnsi="宋体" w:eastAsia="宋体" w:cs="宋体"/>
          <w:spacing w:val="-2"/>
          <w:sz w:val="24"/>
          <w:szCs w:val="24"/>
        </w:rPr>
        <w:t>倍的</w:t>
      </w:r>
      <w:r>
        <w:rPr>
          <w:rFonts w:ascii="宋体" w:hAnsi="宋体" w:eastAsia="宋体" w:cs="宋体"/>
          <w:sz w:val="24"/>
          <w:szCs w:val="24"/>
        </w:rPr>
        <w:t xml:space="preserve"> </w:t>
      </w:r>
      <w:r>
        <w:rPr>
          <w:rFonts w:ascii="宋体" w:hAnsi="宋体" w:eastAsia="宋体" w:cs="宋体"/>
          <w:spacing w:val="-3"/>
          <w:sz w:val="24"/>
          <w:szCs w:val="24"/>
        </w:rPr>
        <w:t>满负荷静载试验和</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 xml:space="preserve">1.1 </w:t>
      </w:r>
      <w:r>
        <w:rPr>
          <w:rFonts w:ascii="宋体" w:hAnsi="宋体" w:eastAsia="宋体" w:cs="宋体"/>
          <w:spacing w:val="-3"/>
          <w:sz w:val="24"/>
          <w:szCs w:val="24"/>
        </w:rPr>
        <w:t>倍的满负荷滑升</w:t>
      </w:r>
      <w:r>
        <w:rPr>
          <w:rFonts w:ascii="宋体" w:hAnsi="宋体" w:eastAsia="宋体" w:cs="宋体"/>
          <w:spacing w:val="-4"/>
          <w:sz w:val="24"/>
          <w:szCs w:val="24"/>
        </w:rPr>
        <w:t>试验。</w:t>
      </w:r>
    </w:p>
    <w:p w14:paraId="5B1370BD">
      <w:pPr>
        <w:spacing w:before="75" w:line="225" w:lineRule="auto"/>
        <w:ind w:left="2"/>
        <w:outlineLvl w:val="1"/>
        <w:rPr>
          <w:rFonts w:ascii="宋体" w:hAnsi="宋体" w:eastAsia="宋体" w:cs="宋体"/>
          <w:sz w:val="27"/>
          <w:szCs w:val="27"/>
        </w:rPr>
      </w:pPr>
      <w:bookmarkStart w:id="17" w:name="bookmark66"/>
      <w:bookmarkEnd w:id="17"/>
      <w:r>
        <w:rPr>
          <w:rFonts w:ascii="Times New Roman" w:hAnsi="Times New Roman" w:eastAsia="Times New Roman" w:cs="Times New Roman"/>
          <w:b/>
          <w:bCs/>
          <w:spacing w:val="6"/>
          <w:sz w:val="27"/>
          <w:szCs w:val="27"/>
        </w:rPr>
        <w:t>2.</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50119-2013  </w:t>
      </w:r>
      <w:r>
        <w:rPr>
          <w:rFonts w:ascii="宋体" w:hAnsi="宋体" w:eastAsia="宋体" w:cs="宋体"/>
          <w:b/>
          <w:bCs/>
          <w:spacing w:val="6"/>
          <w:sz w:val="27"/>
          <w:szCs w:val="27"/>
        </w:rPr>
        <w:t>混凝土外加剂应用技术规范【强条已废】</w:t>
      </w:r>
    </w:p>
    <w:p w14:paraId="1AFF90B8">
      <w:pPr>
        <w:spacing w:before="287" w:line="220" w:lineRule="auto"/>
        <w:ind w:left="32"/>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b/>
          <w:bCs/>
          <w:color w:val="0563C1"/>
          <w:sz w:val="24"/>
          <w:szCs w:val="24"/>
          <w:u w:val="single" w:color="auto"/>
        </w:rPr>
        <w:t>《混凝土结构通用规范》</w:t>
      </w:r>
      <w:r>
        <w:rPr>
          <w:rFonts w:ascii="Times New Roman" w:hAnsi="Times New Roman" w:eastAsia="Times New Roman" w:cs="Times New Roman"/>
          <w:b/>
          <w:bCs/>
          <w:color w:val="0563C1"/>
          <w:sz w:val="24"/>
          <w:szCs w:val="24"/>
          <w:u w:val="single" w:color="auto"/>
        </w:rPr>
        <w:t>GB550</w:t>
      </w:r>
      <w:r>
        <w:rPr>
          <w:rFonts w:ascii="Times New Roman" w:hAnsi="Times New Roman" w:eastAsia="Times New Roman" w:cs="Times New Roman"/>
          <w:b/>
          <w:bCs/>
          <w:color w:val="0563C1"/>
          <w:spacing w:val="-1"/>
          <w:sz w:val="24"/>
          <w:szCs w:val="24"/>
          <w:u w:val="single" w:color="auto"/>
        </w:rPr>
        <w:t>08-2021</w:t>
      </w:r>
      <w:r>
        <w:rPr>
          <w:rFonts w:ascii="宋体" w:hAnsi="宋体" w:eastAsia="宋体" w:cs="宋体"/>
          <w:b/>
          <w:bCs/>
          <w:color w:val="FF0000"/>
          <w:spacing w:val="-1"/>
          <w:sz w:val="24"/>
          <w:szCs w:val="24"/>
        </w:rPr>
        <w:t>替代</w:t>
      </w:r>
    </w:p>
    <w:p w14:paraId="462F09E5">
      <w:pPr>
        <w:spacing w:before="155" w:line="279" w:lineRule="auto"/>
        <w:ind w:left="28" w:right="119" w:hanging="22"/>
        <w:rPr>
          <w:rFonts w:ascii="宋体" w:hAnsi="宋体" w:eastAsia="宋体" w:cs="宋体"/>
          <w:sz w:val="24"/>
          <w:szCs w:val="24"/>
        </w:rPr>
      </w:pPr>
      <w:r>
        <w:rPr>
          <w:rFonts w:ascii="Times New Roman" w:hAnsi="Times New Roman" w:eastAsia="Times New Roman" w:cs="Times New Roman"/>
          <w:strike/>
          <w:sz w:val="24"/>
          <w:szCs w:val="24"/>
        </w:rPr>
        <w:t xml:space="preserve">3.1.3    </w:t>
      </w:r>
      <w:r>
        <w:rPr>
          <w:rFonts w:ascii="宋体" w:hAnsi="宋体" w:eastAsia="宋体" w:cs="宋体"/>
          <w:strike/>
          <w:sz w:val="24"/>
          <w:szCs w:val="24"/>
        </w:rPr>
        <w:t>含有六价铬盐、亚硝酸盐和硫氰酸盐成分的混凝土外</w:t>
      </w:r>
      <w:r>
        <w:rPr>
          <w:rFonts w:ascii="宋体" w:hAnsi="宋体" w:eastAsia="宋体" w:cs="宋体"/>
          <w:strike/>
          <w:spacing w:val="-1"/>
          <w:sz w:val="24"/>
          <w:szCs w:val="24"/>
        </w:rPr>
        <w:t>加剂，严禁用于饮水工程</w:t>
      </w:r>
      <w:r>
        <w:rPr>
          <w:rFonts w:ascii="宋体" w:hAnsi="宋体" w:eastAsia="宋体" w:cs="宋体"/>
          <w:sz w:val="24"/>
          <w:szCs w:val="24"/>
        </w:rPr>
        <w:t xml:space="preserve"> </w:t>
      </w:r>
      <w:r>
        <w:rPr>
          <w:rFonts w:ascii="宋体" w:hAnsi="宋体" w:eastAsia="宋体" w:cs="宋体"/>
          <w:strike/>
          <w:spacing w:val="-2"/>
          <w:sz w:val="24"/>
          <w:szCs w:val="24"/>
        </w:rPr>
        <w:t>中建成后与饮用水直接接触的混凝土。</w:t>
      </w:r>
    </w:p>
    <w:p w14:paraId="06934897">
      <w:pPr>
        <w:spacing w:before="153" w:line="280" w:lineRule="auto"/>
        <w:ind w:left="9" w:right="119" w:hanging="3"/>
        <w:rPr>
          <w:rFonts w:ascii="宋体" w:hAnsi="宋体" w:eastAsia="宋体" w:cs="宋体"/>
          <w:sz w:val="24"/>
          <w:szCs w:val="24"/>
        </w:rPr>
      </w:pPr>
      <w:r>
        <w:rPr>
          <w:rFonts w:ascii="Times New Roman" w:hAnsi="Times New Roman" w:eastAsia="Times New Roman" w:cs="Times New Roman"/>
          <w:strike/>
          <w:sz w:val="24"/>
          <w:szCs w:val="24"/>
        </w:rPr>
        <w:t xml:space="preserve">3.1.4    </w:t>
      </w:r>
      <w:r>
        <w:rPr>
          <w:rFonts w:ascii="宋体" w:hAnsi="宋体" w:eastAsia="宋体" w:cs="宋体"/>
          <w:strike/>
          <w:sz w:val="24"/>
          <w:szCs w:val="24"/>
        </w:rPr>
        <w:t>含有强电解质无机盐的早强型普通减水剂、早强剂、</w:t>
      </w:r>
      <w:r>
        <w:rPr>
          <w:rFonts w:ascii="宋体" w:hAnsi="宋体" w:eastAsia="宋体" w:cs="宋体"/>
          <w:strike/>
          <w:spacing w:val="-1"/>
          <w:sz w:val="24"/>
          <w:szCs w:val="24"/>
        </w:rPr>
        <w:t>防冻剂和防水剂，严禁用</w:t>
      </w:r>
      <w:r>
        <w:rPr>
          <w:rFonts w:ascii="宋体" w:hAnsi="宋体" w:eastAsia="宋体" w:cs="宋体"/>
          <w:sz w:val="24"/>
          <w:szCs w:val="24"/>
        </w:rPr>
        <w:t xml:space="preserve"> </w:t>
      </w:r>
      <w:r>
        <w:rPr>
          <w:rFonts w:ascii="宋体" w:hAnsi="宋体" w:eastAsia="宋体" w:cs="宋体"/>
          <w:strike/>
          <w:spacing w:val="-2"/>
          <w:sz w:val="24"/>
          <w:szCs w:val="24"/>
        </w:rPr>
        <w:t>于下列混凝土结构：</w:t>
      </w:r>
    </w:p>
    <w:p w14:paraId="0114D228">
      <w:pPr>
        <w:spacing w:before="154" w:line="219" w:lineRule="auto"/>
        <w:ind w:left="504"/>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与镀锌钢材或铝铁相接触部位的混凝土结构；</w:t>
      </w:r>
    </w:p>
    <w:p w14:paraId="79661D04">
      <w:pPr>
        <w:spacing w:before="154"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有外露钢筋预埋件而无防护措施的混凝土结构；</w:t>
      </w:r>
    </w:p>
    <w:p w14:paraId="738D8D19">
      <w:pPr>
        <w:spacing w:before="154" w:line="220" w:lineRule="auto"/>
        <w:ind w:left="486"/>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使用直流电源的混凝土结构；</w:t>
      </w:r>
    </w:p>
    <w:p w14:paraId="5535B1A1">
      <w:pPr>
        <w:spacing w:before="155" w:line="220" w:lineRule="auto"/>
        <w:ind w:left="480"/>
        <w:rPr>
          <w:rFonts w:ascii="宋体" w:hAnsi="宋体" w:eastAsia="宋体" w:cs="宋体"/>
          <w:sz w:val="24"/>
          <w:szCs w:val="24"/>
        </w:rPr>
      </w:pPr>
      <w:r>
        <w:rPr>
          <w:rFonts w:ascii="Times New Roman" w:hAnsi="Times New Roman" w:eastAsia="Times New Roman" w:cs="Times New Roman"/>
          <w:strike/>
          <w:spacing w:val="-3"/>
          <w:sz w:val="24"/>
          <w:szCs w:val="24"/>
        </w:rPr>
        <w:t xml:space="preserve">4  </w:t>
      </w:r>
      <w:r>
        <w:rPr>
          <w:rFonts w:ascii="宋体" w:hAnsi="宋体" w:eastAsia="宋体" w:cs="宋体"/>
          <w:strike/>
          <w:spacing w:val="-3"/>
          <w:sz w:val="24"/>
          <w:szCs w:val="24"/>
        </w:rPr>
        <w:t>距高压直流电源</w:t>
      </w:r>
      <w:r>
        <w:rPr>
          <w:rFonts w:ascii="宋体" w:hAnsi="宋体" w:eastAsia="宋体" w:cs="宋体"/>
          <w:strike/>
          <w:spacing w:val="-29"/>
          <w:sz w:val="24"/>
          <w:szCs w:val="24"/>
        </w:rPr>
        <w:t xml:space="preserve"> </w:t>
      </w:r>
      <w:r>
        <w:rPr>
          <w:rFonts w:ascii="Times New Roman" w:hAnsi="Times New Roman" w:eastAsia="Times New Roman" w:cs="Times New Roman"/>
          <w:strike/>
          <w:spacing w:val="-3"/>
          <w:sz w:val="24"/>
          <w:szCs w:val="24"/>
        </w:rPr>
        <w:t>100m</w:t>
      </w:r>
      <w:r>
        <w:rPr>
          <w:rFonts w:ascii="Times New Roman" w:hAnsi="Times New Roman" w:eastAsia="Times New Roman" w:cs="Times New Roman"/>
          <w:strike/>
          <w:spacing w:val="37"/>
          <w:w w:val="101"/>
          <w:sz w:val="24"/>
          <w:szCs w:val="24"/>
        </w:rPr>
        <w:t xml:space="preserve"> </w:t>
      </w:r>
      <w:r>
        <w:rPr>
          <w:rFonts w:ascii="宋体" w:hAnsi="宋体" w:eastAsia="宋体" w:cs="宋体"/>
          <w:strike/>
          <w:spacing w:val="-3"/>
          <w:sz w:val="24"/>
          <w:szCs w:val="24"/>
        </w:rPr>
        <w:t>以内的混凝土结构。</w:t>
      </w:r>
    </w:p>
    <w:p w14:paraId="605B756D">
      <w:pPr>
        <w:spacing w:line="220" w:lineRule="auto"/>
        <w:rPr>
          <w:rFonts w:ascii="宋体" w:hAnsi="宋体" w:eastAsia="宋体" w:cs="宋体"/>
          <w:sz w:val="24"/>
          <w:szCs w:val="24"/>
        </w:rPr>
        <w:sectPr>
          <w:footerReference r:id="rId17" w:type="default"/>
          <w:pgSz w:w="11907" w:h="16839"/>
          <w:pgMar w:top="400" w:right="1489" w:bottom="743" w:left="1421" w:header="0" w:footer="582" w:gutter="0"/>
          <w:cols w:space="720" w:num="1"/>
        </w:sectPr>
      </w:pPr>
    </w:p>
    <w:p w14:paraId="11497345">
      <w:pPr>
        <w:pStyle w:val="2"/>
        <w:spacing w:line="303" w:lineRule="auto"/>
      </w:pPr>
    </w:p>
    <w:p w14:paraId="019C21D8">
      <w:pPr>
        <w:pStyle w:val="2"/>
        <w:spacing w:line="303" w:lineRule="auto"/>
      </w:pPr>
    </w:p>
    <w:p w14:paraId="04C53335">
      <w:pPr>
        <w:pStyle w:val="2"/>
        <w:spacing w:line="304" w:lineRule="auto"/>
      </w:pPr>
    </w:p>
    <w:p w14:paraId="4F809939">
      <w:pPr>
        <w:spacing w:before="78" w:line="279" w:lineRule="auto"/>
        <w:ind w:left="5" w:right="120"/>
        <w:rPr>
          <w:rFonts w:ascii="宋体" w:hAnsi="宋体" w:eastAsia="宋体" w:cs="宋体"/>
          <w:sz w:val="24"/>
          <w:szCs w:val="24"/>
        </w:rPr>
      </w:pPr>
      <w:r>
        <w:rPr>
          <w:rFonts w:ascii="Times New Roman" w:hAnsi="Times New Roman" w:eastAsia="Times New Roman" w:cs="Times New Roman"/>
          <w:strike/>
          <w:sz w:val="24"/>
          <w:szCs w:val="24"/>
        </w:rPr>
        <w:t xml:space="preserve">3.1.5    </w:t>
      </w:r>
      <w:r>
        <w:rPr>
          <w:rFonts w:ascii="宋体" w:hAnsi="宋体" w:eastAsia="宋体" w:cs="宋体"/>
          <w:strike/>
          <w:sz w:val="24"/>
          <w:szCs w:val="24"/>
        </w:rPr>
        <w:t>含有氯盐的早强型普通减水剂、早强剂、防水剂和氯</w:t>
      </w:r>
      <w:r>
        <w:rPr>
          <w:rFonts w:ascii="宋体" w:hAnsi="宋体" w:eastAsia="宋体" w:cs="宋体"/>
          <w:strike/>
          <w:spacing w:val="-1"/>
          <w:sz w:val="24"/>
          <w:szCs w:val="24"/>
        </w:rPr>
        <w:t>盐类防冻剂，严禁用于预</w:t>
      </w:r>
      <w:r>
        <w:rPr>
          <w:rFonts w:ascii="宋体" w:hAnsi="宋体" w:eastAsia="宋体" w:cs="宋体"/>
          <w:sz w:val="24"/>
          <w:szCs w:val="24"/>
        </w:rPr>
        <w:t xml:space="preserve"> </w:t>
      </w:r>
      <w:r>
        <w:rPr>
          <w:rFonts w:ascii="宋体" w:hAnsi="宋体" w:eastAsia="宋体" w:cs="宋体"/>
          <w:strike/>
          <w:spacing w:val="-1"/>
          <w:sz w:val="24"/>
          <w:szCs w:val="24"/>
        </w:rPr>
        <w:t>应力混凝土、钢筋混凝土和钢纤维混凝土结构。</w:t>
      </w:r>
    </w:p>
    <w:p w14:paraId="2CD0FFC8">
      <w:pPr>
        <w:spacing w:before="153" w:line="279" w:lineRule="auto"/>
        <w:ind w:left="7" w:right="120" w:hanging="2"/>
        <w:rPr>
          <w:rFonts w:ascii="宋体" w:hAnsi="宋体" w:eastAsia="宋体" w:cs="宋体"/>
          <w:sz w:val="24"/>
          <w:szCs w:val="24"/>
        </w:rPr>
      </w:pPr>
      <w:r>
        <w:rPr>
          <w:rFonts w:ascii="Times New Roman" w:hAnsi="Times New Roman" w:eastAsia="Times New Roman" w:cs="Times New Roman"/>
          <w:strike/>
          <w:sz w:val="24"/>
          <w:szCs w:val="24"/>
        </w:rPr>
        <w:t xml:space="preserve">3.1.6    </w:t>
      </w:r>
      <w:r>
        <w:rPr>
          <w:rFonts w:ascii="宋体" w:hAnsi="宋体" w:eastAsia="宋体" w:cs="宋体"/>
          <w:strike/>
          <w:sz w:val="24"/>
          <w:szCs w:val="24"/>
        </w:rPr>
        <w:t>含有硝酸铵、碳酸铵的早强型普通减水剂、早强剂和</w:t>
      </w:r>
      <w:r>
        <w:rPr>
          <w:rFonts w:ascii="宋体" w:hAnsi="宋体" w:eastAsia="宋体" w:cs="宋体"/>
          <w:strike/>
          <w:spacing w:val="-1"/>
          <w:sz w:val="24"/>
          <w:szCs w:val="24"/>
        </w:rPr>
        <w:t>含有硝酸铵、碳酸铵、尿</w:t>
      </w:r>
      <w:r>
        <w:rPr>
          <w:rFonts w:ascii="宋体" w:hAnsi="宋体" w:eastAsia="宋体" w:cs="宋体"/>
          <w:sz w:val="24"/>
          <w:szCs w:val="24"/>
        </w:rPr>
        <w:t xml:space="preserve"> </w:t>
      </w:r>
      <w:r>
        <w:rPr>
          <w:rFonts w:ascii="宋体" w:hAnsi="宋体" w:eastAsia="宋体" w:cs="宋体"/>
          <w:strike/>
          <w:spacing w:val="-1"/>
          <w:sz w:val="24"/>
          <w:szCs w:val="24"/>
        </w:rPr>
        <w:t>素的防冻剂，严禁用于办公、居住等有人员活动的建筑工程。</w:t>
      </w:r>
    </w:p>
    <w:p w14:paraId="3DEDED33">
      <w:pPr>
        <w:spacing w:before="156" w:line="278" w:lineRule="auto"/>
        <w:ind w:left="20" w:right="120" w:hanging="15"/>
        <w:rPr>
          <w:rFonts w:ascii="宋体" w:hAnsi="宋体" w:eastAsia="宋体" w:cs="宋体"/>
          <w:sz w:val="24"/>
          <w:szCs w:val="24"/>
        </w:rPr>
      </w:pPr>
      <w:r>
        <w:rPr>
          <w:rFonts w:ascii="Times New Roman" w:hAnsi="Times New Roman" w:eastAsia="Times New Roman" w:cs="Times New Roman"/>
          <w:strike/>
          <w:sz w:val="24"/>
          <w:szCs w:val="24"/>
        </w:rPr>
        <w:t xml:space="preserve">3.1.7    </w:t>
      </w:r>
      <w:r>
        <w:rPr>
          <w:rFonts w:ascii="宋体" w:hAnsi="宋体" w:eastAsia="宋体" w:cs="宋体"/>
          <w:strike/>
          <w:sz w:val="24"/>
          <w:szCs w:val="24"/>
        </w:rPr>
        <w:t>含有亚硝酸盐、碳酸盐的早强型普通减水剂、早强剂</w:t>
      </w:r>
      <w:r>
        <w:rPr>
          <w:rFonts w:ascii="宋体" w:hAnsi="宋体" w:eastAsia="宋体" w:cs="宋体"/>
          <w:strike/>
          <w:spacing w:val="-1"/>
          <w:sz w:val="24"/>
          <w:szCs w:val="24"/>
        </w:rPr>
        <w:t>、防冻剂和含亚硝酸盐的</w:t>
      </w:r>
      <w:r>
        <w:rPr>
          <w:rFonts w:ascii="宋体" w:hAnsi="宋体" w:eastAsia="宋体" w:cs="宋体"/>
          <w:sz w:val="24"/>
          <w:szCs w:val="24"/>
        </w:rPr>
        <w:t xml:space="preserve"> </w:t>
      </w:r>
      <w:r>
        <w:rPr>
          <w:rFonts w:ascii="宋体" w:hAnsi="宋体" w:eastAsia="宋体" w:cs="宋体"/>
          <w:strike/>
          <w:spacing w:val="-2"/>
          <w:sz w:val="24"/>
          <w:szCs w:val="24"/>
        </w:rPr>
        <w:t>阻锈剂，严禁用于预应力混凝土结构。</w:t>
      </w:r>
    </w:p>
    <w:p w14:paraId="7D8BFE2D">
      <w:pPr>
        <w:spacing w:before="202" w:line="226" w:lineRule="auto"/>
        <w:outlineLvl w:val="1"/>
        <w:rPr>
          <w:rFonts w:ascii="宋体" w:hAnsi="宋体" w:eastAsia="宋体" w:cs="宋体"/>
          <w:sz w:val="27"/>
          <w:szCs w:val="27"/>
        </w:rPr>
      </w:pPr>
      <w:bookmarkStart w:id="18" w:name="bookmark67"/>
      <w:bookmarkEnd w:id="18"/>
      <w:r>
        <w:rPr>
          <w:rFonts w:ascii="Times New Roman" w:hAnsi="Times New Roman" w:eastAsia="Times New Roman" w:cs="Times New Roman"/>
          <w:b/>
          <w:bCs/>
          <w:spacing w:val="6"/>
          <w:sz w:val="27"/>
          <w:szCs w:val="27"/>
        </w:rPr>
        <w:t>3.</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50164-2011  </w:t>
      </w:r>
      <w:r>
        <w:rPr>
          <w:rFonts w:ascii="宋体" w:hAnsi="宋体" w:eastAsia="宋体" w:cs="宋体"/>
          <w:b/>
          <w:bCs/>
          <w:spacing w:val="6"/>
          <w:sz w:val="27"/>
          <w:szCs w:val="27"/>
        </w:rPr>
        <w:t>混凝土质量控制标准【</w:t>
      </w:r>
      <w:r>
        <w:rPr>
          <w:rFonts w:ascii="宋体" w:hAnsi="宋体" w:eastAsia="宋体" w:cs="宋体"/>
          <w:b/>
          <w:bCs/>
          <w:spacing w:val="5"/>
          <w:sz w:val="27"/>
          <w:szCs w:val="27"/>
        </w:rPr>
        <w:t>强条已废】</w:t>
      </w:r>
    </w:p>
    <w:p w14:paraId="36EB6D55">
      <w:pPr>
        <w:spacing w:before="285" w:line="220" w:lineRule="auto"/>
        <w:ind w:left="32"/>
        <w:rPr>
          <w:rFonts w:ascii="宋体" w:hAnsi="宋体" w:eastAsia="宋体" w:cs="宋体"/>
          <w:sz w:val="24"/>
          <w:szCs w:val="24"/>
        </w:rPr>
      </w:pPr>
      <w:r>
        <w:rPr>
          <w:rFonts w:ascii="宋体" w:hAnsi="宋体" w:eastAsia="宋体" w:cs="宋体"/>
          <w:b/>
          <w:bCs/>
          <w:color w:val="7030A0"/>
          <w:sz w:val="24"/>
          <w:szCs w:val="24"/>
        </w:rPr>
        <w:t>以下</w:t>
      </w:r>
      <w:r>
        <w:rPr>
          <w:rFonts w:ascii="宋体" w:hAnsi="宋体" w:eastAsia="宋体" w:cs="宋体"/>
          <w:b/>
          <w:bCs/>
          <w:color w:val="FF0000"/>
          <w:sz w:val="24"/>
          <w:szCs w:val="24"/>
        </w:rPr>
        <w:t>条目已被</w:t>
      </w:r>
      <w:r>
        <w:rPr>
          <w:rFonts w:ascii="宋体" w:hAnsi="宋体" w:eastAsia="宋体" w:cs="宋体"/>
          <w:b/>
          <w:bCs/>
          <w:color w:val="0563C1"/>
          <w:sz w:val="24"/>
          <w:szCs w:val="24"/>
          <w:u w:val="single" w:color="auto"/>
        </w:rPr>
        <w:t>《混凝土结构通用规范》</w:t>
      </w:r>
      <w:r>
        <w:rPr>
          <w:rFonts w:ascii="Times New Roman" w:hAnsi="Times New Roman" w:eastAsia="Times New Roman" w:cs="Times New Roman"/>
          <w:b/>
          <w:bCs/>
          <w:color w:val="0563C1"/>
          <w:sz w:val="24"/>
          <w:szCs w:val="24"/>
          <w:u w:val="single" w:color="auto"/>
        </w:rPr>
        <w:t>GB550</w:t>
      </w:r>
      <w:r>
        <w:rPr>
          <w:rFonts w:ascii="Times New Roman" w:hAnsi="Times New Roman" w:eastAsia="Times New Roman" w:cs="Times New Roman"/>
          <w:b/>
          <w:bCs/>
          <w:color w:val="0563C1"/>
          <w:spacing w:val="-1"/>
          <w:sz w:val="24"/>
          <w:szCs w:val="24"/>
          <w:u w:val="single" w:color="auto"/>
        </w:rPr>
        <w:t>08-2021</w:t>
      </w:r>
      <w:r>
        <w:rPr>
          <w:rFonts w:ascii="宋体" w:hAnsi="宋体" w:eastAsia="宋体" w:cs="宋体"/>
          <w:b/>
          <w:bCs/>
          <w:color w:val="FF0000"/>
          <w:spacing w:val="-1"/>
          <w:sz w:val="24"/>
          <w:szCs w:val="24"/>
        </w:rPr>
        <w:t>替代</w:t>
      </w:r>
    </w:p>
    <w:p w14:paraId="7C533471">
      <w:pPr>
        <w:spacing w:before="155" w:line="220" w:lineRule="auto"/>
        <w:ind w:left="7"/>
        <w:rPr>
          <w:rFonts w:ascii="宋体" w:hAnsi="宋体" w:eastAsia="宋体" w:cs="宋体"/>
          <w:sz w:val="24"/>
          <w:szCs w:val="24"/>
        </w:rPr>
      </w:pPr>
      <w:r>
        <w:rPr>
          <w:rFonts w:ascii="宋体" w:hAnsi="宋体" w:eastAsia="宋体" w:cs="宋体"/>
          <w:strike/>
          <w:spacing w:val="-1"/>
          <w:sz w:val="24"/>
          <w:szCs w:val="24"/>
        </w:rPr>
        <w:t>6.1.2  混凝土拌合物在运输和浇筑成型过程中严禁加水。</w:t>
      </w:r>
    </w:p>
    <w:p w14:paraId="611DC3FA">
      <w:pPr>
        <w:spacing w:before="153" w:line="341" w:lineRule="auto"/>
        <w:ind w:left="5"/>
        <w:rPr>
          <w:rFonts w:ascii="宋体" w:hAnsi="宋体" w:eastAsia="宋体" w:cs="宋体"/>
          <w:sz w:val="24"/>
          <w:szCs w:val="24"/>
        </w:rPr>
      </w:pPr>
      <w:r>
        <w:rPr>
          <w:rFonts w:ascii="宋体" w:hAnsi="宋体" w:eastAsia="宋体" w:cs="宋体"/>
          <w:spacing w:val="-1"/>
          <w:sz w:val="24"/>
          <w:szCs w:val="24"/>
        </w:rPr>
        <w:t>《混凝土结构通用规范》GB55008-2021 第</w:t>
      </w:r>
      <w:r>
        <w:rPr>
          <w:rFonts w:ascii="宋体" w:hAnsi="宋体" w:eastAsia="宋体" w:cs="宋体"/>
          <w:spacing w:val="-38"/>
          <w:sz w:val="24"/>
          <w:szCs w:val="24"/>
        </w:rPr>
        <w:t xml:space="preserve"> </w:t>
      </w:r>
      <w:r>
        <w:rPr>
          <w:rFonts w:ascii="宋体" w:hAnsi="宋体" w:eastAsia="宋体" w:cs="宋体"/>
          <w:spacing w:val="-1"/>
          <w:sz w:val="24"/>
          <w:szCs w:val="24"/>
        </w:rPr>
        <w:t>5.4.1</w:t>
      </w:r>
      <w:r>
        <w:rPr>
          <w:rFonts w:ascii="宋体" w:hAnsi="宋体" w:eastAsia="宋体" w:cs="宋体"/>
          <w:spacing w:val="-48"/>
          <w:sz w:val="24"/>
          <w:szCs w:val="24"/>
        </w:rPr>
        <w:t xml:space="preserve"> </w:t>
      </w:r>
      <w:r>
        <w:rPr>
          <w:rFonts w:ascii="宋体" w:hAnsi="宋体" w:eastAsia="宋体" w:cs="宋体"/>
          <w:spacing w:val="-1"/>
          <w:sz w:val="24"/>
          <w:szCs w:val="24"/>
        </w:rPr>
        <w:t>混凝土运输、输送、浇筑过程中严禁</w:t>
      </w:r>
      <w:r>
        <w:rPr>
          <w:rFonts w:ascii="宋体" w:hAnsi="宋体" w:eastAsia="宋体" w:cs="宋体"/>
          <w:sz w:val="24"/>
          <w:szCs w:val="24"/>
        </w:rPr>
        <w:t xml:space="preserve"> </w:t>
      </w:r>
      <w:r>
        <w:rPr>
          <w:rFonts w:ascii="宋体" w:hAnsi="宋体" w:eastAsia="宋体" w:cs="宋体"/>
          <w:spacing w:val="-2"/>
          <w:sz w:val="24"/>
          <w:szCs w:val="24"/>
        </w:rPr>
        <w:t>加水;运输、输送、浇筑过程中散落的混凝土严禁用于结构浇筑。</w:t>
      </w:r>
    </w:p>
    <w:p w14:paraId="3027A945">
      <w:pPr>
        <w:spacing w:before="41" w:line="226" w:lineRule="auto"/>
        <w:ind w:left="3"/>
        <w:outlineLvl w:val="1"/>
        <w:rPr>
          <w:rFonts w:ascii="宋体" w:hAnsi="宋体" w:eastAsia="宋体" w:cs="宋体"/>
          <w:sz w:val="27"/>
          <w:szCs w:val="27"/>
        </w:rPr>
      </w:pPr>
      <w:bookmarkStart w:id="19" w:name="bookmark68"/>
      <w:bookmarkEnd w:id="19"/>
      <w:r>
        <w:rPr>
          <w:rFonts w:ascii="Times New Roman" w:hAnsi="Times New Roman" w:eastAsia="Times New Roman" w:cs="Times New Roman"/>
          <w:b/>
          <w:bCs/>
          <w:spacing w:val="6"/>
          <w:sz w:val="27"/>
          <w:szCs w:val="27"/>
        </w:rPr>
        <w:t>4.</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50203-2011  </w:t>
      </w:r>
      <w:r>
        <w:rPr>
          <w:rFonts w:ascii="宋体" w:hAnsi="宋体" w:eastAsia="宋体" w:cs="宋体"/>
          <w:b/>
          <w:bCs/>
          <w:spacing w:val="6"/>
          <w:sz w:val="27"/>
          <w:szCs w:val="27"/>
        </w:rPr>
        <w:t>砌体结构工程施工质量验收规范【强条已废】</w:t>
      </w:r>
    </w:p>
    <w:p w14:paraId="05C0DA49">
      <w:pPr>
        <w:spacing w:before="286" w:line="220" w:lineRule="auto"/>
        <w:ind w:left="473"/>
        <w:rPr>
          <w:rFonts w:ascii="宋体" w:hAnsi="宋体" w:eastAsia="宋体" w:cs="宋体"/>
          <w:sz w:val="24"/>
          <w:szCs w:val="24"/>
        </w:rPr>
      </w:pPr>
      <w:r>
        <w:rPr>
          <w:rFonts w:ascii="宋体" w:hAnsi="宋体" w:eastAsia="宋体" w:cs="宋体"/>
          <w:b/>
          <w:bCs/>
          <w:color w:val="FF0000"/>
          <w:sz w:val="24"/>
          <w:szCs w:val="24"/>
        </w:rPr>
        <w:t>以下条目已被</w:t>
      </w:r>
      <w:r>
        <w:rPr>
          <w:rFonts w:ascii="宋体" w:hAnsi="宋体" w:eastAsia="宋体" w:cs="宋体"/>
          <w:b/>
          <w:bCs/>
          <w:color w:val="0563C1"/>
          <w:sz w:val="24"/>
          <w:szCs w:val="24"/>
          <w:u w:val="single" w:color="auto"/>
        </w:rPr>
        <w:t>《砌体结构通用规范》</w:t>
      </w:r>
      <w:r>
        <w:rPr>
          <w:rFonts w:ascii="Times New Roman" w:hAnsi="Times New Roman" w:eastAsia="Times New Roman" w:cs="Times New Roman"/>
          <w:b/>
          <w:bCs/>
          <w:color w:val="0563C1"/>
          <w:sz w:val="24"/>
          <w:szCs w:val="24"/>
          <w:u w:val="single" w:color="auto"/>
        </w:rPr>
        <w:t>GB55007-</w:t>
      </w:r>
      <w:r>
        <w:rPr>
          <w:rFonts w:ascii="Times New Roman" w:hAnsi="Times New Roman" w:eastAsia="Times New Roman" w:cs="Times New Roman"/>
          <w:b/>
          <w:bCs/>
          <w:color w:val="0563C1"/>
          <w:spacing w:val="-1"/>
          <w:sz w:val="24"/>
          <w:szCs w:val="24"/>
          <w:u w:val="single" w:color="auto"/>
        </w:rPr>
        <w:t>2021</w:t>
      </w:r>
      <w:r>
        <w:rPr>
          <w:rFonts w:ascii="宋体" w:hAnsi="宋体" w:eastAsia="宋体" w:cs="宋体"/>
          <w:b/>
          <w:bCs/>
          <w:color w:val="FF0000"/>
          <w:spacing w:val="-1"/>
          <w:sz w:val="24"/>
          <w:szCs w:val="24"/>
        </w:rPr>
        <w:t>替代</w:t>
      </w:r>
    </w:p>
    <w:p w14:paraId="5DFCE5C1">
      <w:pPr>
        <w:spacing w:before="154" w:line="220"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4.0.1    </w:t>
      </w:r>
      <w:r>
        <w:rPr>
          <w:rFonts w:ascii="宋体" w:hAnsi="宋体" w:eastAsia="宋体" w:cs="宋体"/>
          <w:strike/>
          <w:spacing w:val="-1"/>
          <w:sz w:val="24"/>
          <w:szCs w:val="24"/>
        </w:rPr>
        <w:t>水泥使用应符合下列规定：</w:t>
      </w:r>
    </w:p>
    <w:p w14:paraId="452358AD">
      <w:pPr>
        <w:spacing w:before="155" w:line="279" w:lineRule="auto"/>
        <w:ind w:left="4" w:right="120" w:firstLine="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水泥进场时应对其品种、等级、包装或散装仓号、出厂日期等进行检查，并应</w:t>
      </w:r>
      <w:r>
        <w:rPr>
          <w:rFonts w:ascii="宋体" w:hAnsi="宋体" w:eastAsia="宋体" w:cs="宋体"/>
          <w:spacing w:val="7"/>
          <w:sz w:val="24"/>
          <w:szCs w:val="24"/>
        </w:rPr>
        <w:t xml:space="preserve"> </w:t>
      </w:r>
      <w:r>
        <w:rPr>
          <w:rFonts w:ascii="宋体" w:hAnsi="宋体" w:eastAsia="宋体" w:cs="宋体"/>
          <w:strike/>
          <w:sz w:val="24"/>
          <w:szCs w:val="24"/>
        </w:rPr>
        <w:t>对其强度、安定性进行复验，其质量必须符合现行国家标</w:t>
      </w:r>
      <w:r>
        <w:rPr>
          <w:rFonts w:ascii="宋体" w:hAnsi="宋体" w:eastAsia="宋体" w:cs="宋体"/>
          <w:strike/>
          <w:spacing w:val="-1"/>
          <w:sz w:val="24"/>
          <w:szCs w:val="24"/>
        </w:rPr>
        <w:t>准《通用硅酸盐水泥》</w:t>
      </w:r>
    </w:p>
    <w:p w14:paraId="335488FC">
      <w:pPr>
        <w:spacing w:before="155" w:line="220" w:lineRule="auto"/>
        <w:ind w:left="4"/>
        <w:rPr>
          <w:rFonts w:ascii="宋体" w:hAnsi="宋体" w:eastAsia="宋体" w:cs="宋体"/>
          <w:sz w:val="24"/>
          <w:szCs w:val="24"/>
        </w:rPr>
      </w:pPr>
      <w:r>
        <w:rPr>
          <w:rFonts w:ascii="Times New Roman" w:hAnsi="Times New Roman" w:eastAsia="Times New Roman" w:cs="Times New Roman"/>
          <w:strike/>
          <w:spacing w:val="-4"/>
          <w:sz w:val="24"/>
          <w:szCs w:val="24"/>
        </w:rPr>
        <w:t>GB175</w:t>
      </w:r>
      <w:r>
        <w:rPr>
          <w:rFonts w:ascii="Times New Roman" w:hAnsi="Times New Roman" w:eastAsia="Times New Roman" w:cs="Times New Roman"/>
          <w:strike/>
          <w:spacing w:val="34"/>
          <w:w w:val="101"/>
          <w:sz w:val="24"/>
          <w:szCs w:val="24"/>
        </w:rPr>
        <w:t xml:space="preserve"> </w:t>
      </w:r>
      <w:r>
        <w:rPr>
          <w:rFonts w:ascii="宋体" w:hAnsi="宋体" w:eastAsia="宋体" w:cs="宋体"/>
          <w:strike/>
          <w:spacing w:val="-4"/>
          <w:sz w:val="24"/>
          <w:szCs w:val="24"/>
        </w:rPr>
        <w:t>的有关规定。</w:t>
      </w:r>
    </w:p>
    <w:p w14:paraId="6787FA52">
      <w:pPr>
        <w:spacing w:before="153" w:line="279" w:lineRule="auto"/>
        <w:ind w:left="5" w:right="120" w:firstLine="47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当在使用中对水泥质量有怀疑或水泥出厂超过三个月（快硬硅</w:t>
      </w:r>
      <w:r>
        <w:rPr>
          <w:rFonts w:ascii="宋体" w:hAnsi="宋体" w:eastAsia="宋体" w:cs="宋体"/>
          <w:strike/>
          <w:spacing w:val="-1"/>
          <w:sz w:val="24"/>
          <w:szCs w:val="24"/>
        </w:rPr>
        <w:t>酸盐水泥超过</w:t>
      </w:r>
      <w:r>
        <w:rPr>
          <w:rFonts w:ascii="宋体" w:hAnsi="宋体" w:eastAsia="宋体" w:cs="宋体"/>
          <w:spacing w:val="-1"/>
          <w:sz w:val="24"/>
          <w:szCs w:val="24"/>
        </w:rPr>
        <w:t>一</w:t>
      </w:r>
      <w:r>
        <w:rPr>
          <w:rFonts w:ascii="宋体" w:hAnsi="宋体" w:eastAsia="宋体" w:cs="宋体"/>
          <w:sz w:val="24"/>
          <w:szCs w:val="24"/>
        </w:rPr>
        <w:t xml:space="preserve"> </w:t>
      </w:r>
      <w:r>
        <w:rPr>
          <w:rFonts w:ascii="宋体" w:hAnsi="宋体" w:eastAsia="宋体" w:cs="宋体"/>
          <w:strike/>
          <w:spacing w:val="-1"/>
          <w:sz w:val="24"/>
          <w:szCs w:val="24"/>
        </w:rPr>
        <w:t>个月）时，应复查检验，并按复验结果使用。</w:t>
      </w:r>
    </w:p>
    <w:p w14:paraId="16374749">
      <w:pPr>
        <w:spacing w:before="155" w:line="220"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5.2.1    </w:t>
      </w:r>
      <w:r>
        <w:rPr>
          <w:rFonts w:ascii="宋体" w:hAnsi="宋体" w:eastAsia="宋体" w:cs="宋体"/>
          <w:strike/>
          <w:spacing w:val="-1"/>
          <w:sz w:val="24"/>
          <w:szCs w:val="24"/>
        </w:rPr>
        <w:t>砖和砂浆的强度等级必须符合设计要求。</w:t>
      </w:r>
    </w:p>
    <w:p w14:paraId="3F7AD864">
      <w:pPr>
        <w:spacing w:before="151" w:line="309" w:lineRule="auto"/>
        <w:ind w:left="5" w:right="3" w:firstLine="2"/>
        <w:rPr>
          <w:rFonts w:ascii="宋体" w:hAnsi="宋体" w:eastAsia="宋体" w:cs="宋体"/>
          <w:sz w:val="24"/>
          <w:szCs w:val="24"/>
        </w:rPr>
      </w:pPr>
      <w:r>
        <w:rPr>
          <w:rFonts w:ascii="Times New Roman" w:hAnsi="Times New Roman" w:eastAsia="Times New Roman" w:cs="Times New Roman"/>
          <w:strike/>
          <w:sz w:val="24"/>
          <w:szCs w:val="24"/>
        </w:rPr>
        <w:t xml:space="preserve">5.2.3    </w:t>
      </w:r>
      <w:r>
        <w:rPr>
          <w:rFonts w:ascii="宋体" w:hAnsi="宋体" w:eastAsia="宋体" w:cs="宋体"/>
          <w:strike/>
          <w:sz w:val="24"/>
          <w:szCs w:val="24"/>
        </w:rPr>
        <w:t>砖砌体的转角处和交接处应同时砌筑，严禁无可</w:t>
      </w:r>
      <w:r>
        <w:rPr>
          <w:rFonts w:ascii="宋体" w:hAnsi="宋体" w:eastAsia="宋体" w:cs="宋体"/>
          <w:strike/>
          <w:spacing w:val="-1"/>
          <w:sz w:val="24"/>
          <w:szCs w:val="24"/>
        </w:rPr>
        <w:t>靠措施的内外墙分砌施工。在</w:t>
      </w:r>
      <w:r>
        <w:rPr>
          <w:rFonts w:ascii="宋体" w:hAnsi="宋体" w:eastAsia="宋体" w:cs="宋体"/>
          <w:sz w:val="24"/>
          <w:szCs w:val="24"/>
        </w:rPr>
        <w:t xml:space="preserve">  </w:t>
      </w:r>
      <w:r>
        <w:rPr>
          <w:rFonts w:ascii="宋体" w:hAnsi="宋体" w:eastAsia="宋体" w:cs="宋体"/>
          <w:strike/>
          <w:spacing w:val="-1"/>
          <w:sz w:val="24"/>
          <w:szCs w:val="24"/>
        </w:rPr>
        <w:t>抗震设防烈度为</w:t>
      </w:r>
      <w:r>
        <w:rPr>
          <w:rFonts w:ascii="宋体" w:hAnsi="宋体" w:eastAsia="宋体" w:cs="宋体"/>
          <w:strike/>
          <w:spacing w:val="-46"/>
          <w:sz w:val="24"/>
          <w:szCs w:val="24"/>
        </w:rPr>
        <w:t xml:space="preserve"> </w:t>
      </w:r>
      <w:r>
        <w:rPr>
          <w:rFonts w:ascii="Times New Roman" w:hAnsi="Times New Roman" w:eastAsia="Times New Roman" w:cs="Times New Roman"/>
          <w:strike/>
          <w:spacing w:val="-1"/>
          <w:sz w:val="24"/>
          <w:szCs w:val="24"/>
        </w:rPr>
        <w:t xml:space="preserve">8 </w:t>
      </w:r>
      <w:r>
        <w:rPr>
          <w:rFonts w:ascii="宋体" w:hAnsi="宋体" w:eastAsia="宋体" w:cs="宋体"/>
          <w:strike/>
          <w:spacing w:val="-1"/>
          <w:sz w:val="24"/>
          <w:szCs w:val="24"/>
        </w:rPr>
        <w:t>度及</w:t>
      </w:r>
      <w:r>
        <w:rPr>
          <w:rFonts w:ascii="宋体" w:hAnsi="宋体" w:eastAsia="宋体" w:cs="宋体"/>
          <w:strike/>
          <w:spacing w:val="-46"/>
          <w:sz w:val="24"/>
          <w:szCs w:val="24"/>
        </w:rPr>
        <w:t xml:space="preserve"> </w:t>
      </w:r>
      <w:r>
        <w:rPr>
          <w:rFonts w:ascii="Times New Roman" w:hAnsi="Times New Roman" w:eastAsia="Times New Roman" w:cs="Times New Roman"/>
          <w:strike/>
          <w:spacing w:val="-1"/>
          <w:sz w:val="24"/>
          <w:szCs w:val="24"/>
        </w:rPr>
        <w:t xml:space="preserve">8 </w:t>
      </w:r>
      <w:r>
        <w:rPr>
          <w:rFonts w:ascii="宋体" w:hAnsi="宋体" w:eastAsia="宋体" w:cs="宋体"/>
          <w:strike/>
          <w:spacing w:val="-1"/>
          <w:sz w:val="24"/>
          <w:szCs w:val="24"/>
        </w:rPr>
        <w:t>度以上地区，对不能同时砌筑而又必须留置的临时间断处应</w:t>
      </w:r>
      <w:r>
        <w:rPr>
          <w:rFonts w:ascii="宋体" w:hAnsi="宋体" w:eastAsia="宋体" w:cs="宋体"/>
          <w:sz w:val="24"/>
          <w:szCs w:val="24"/>
        </w:rPr>
        <w:t xml:space="preserve">  </w:t>
      </w:r>
      <w:r>
        <w:rPr>
          <w:rFonts w:ascii="宋体" w:hAnsi="宋体" w:eastAsia="宋体" w:cs="宋体"/>
          <w:strike/>
          <w:spacing w:val="-1"/>
          <w:sz w:val="24"/>
          <w:szCs w:val="24"/>
        </w:rPr>
        <w:t>砌成斜槎，普通砖砌体斜槎水平投影长度应不小于高度的</w:t>
      </w:r>
      <w:r>
        <w:rPr>
          <w:rFonts w:ascii="宋体" w:hAnsi="宋体" w:eastAsia="宋体" w:cs="宋体"/>
          <w:strike/>
          <w:spacing w:val="-42"/>
          <w:sz w:val="24"/>
          <w:szCs w:val="24"/>
        </w:rPr>
        <w:t xml:space="preserve"> </w:t>
      </w:r>
      <w:r>
        <w:rPr>
          <w:rFonts w:ascii="Times New Roman" w:hAnsi="Times New Roman" w:eastAsia="Times New Roman" w:cs="Times New Roman"/>
          <w:strike/>
          <w:spacing w:val="-1"/>
          <w:sz w:val="24"/>
          <w:szCs w:val="24"/>
        </w:rPr>
        <w:t>2/3</w:t>
      </w:r>
      <w:r>
        <w:rPr>
          <w:rFonts w:ascii="宋体" w:hAnsi="宋体" w:eastAsia="宋体" w:cs="宋体"/>
          <w:strike/>
          <w:spacing w:val="-1"/>
          <w:sz w:val="24"/>
          <w:szCs w:val="24"/>
        </w:rPr>
        <w:t>，多孔砖砌体的斜槎长高</w:t>
      </w:r>
      <w:r>
        <w:rPr>
          <w:rFonts w:ascii="宋体" w:hAnsi="宋体" w:eastAsia="宋体" w:cs="宋体"/>
          <w:sz w:val="24"/>
          <w:szCs w:val="24"/>
        </w:rPr>
        <w:t xml:space="preserve"> </w:t>
      </w:r>
      <w:r>
        <w:rPr>
          <w:rFonts w:ascii="宋体" w:hAnsi="宋体" w:eastAsia="宋体" w:cs="宋体"/>
          <w:strike/>
          <w:spacing w:val="-2"/>
          <w:sz w:val="24"/>
          <w:szCs w:val="24"/>
        </w:rPr>
        <w:t>比不应小于</w:t>
      </w:r>
      <w:r>
        <w:rPr>
          <w:rFonts w:ascii="宋体" w:hAnsi="宋体" w:eastAsia="宋体" w:cs="宋体"/>
          <w:strike/>
          <w:spacing w:val="-20"/>
          <w:sz w:val="24"/>
          <w:szCs w:val="24"/>
        </w:rPr>
        <w:t xml:space="preserve"> </w:t>
      </w:r>
      <w:r>
        <w:rPr>
          <w:rFonts w:ascii="Times New Roman" w:hAnsi="Times New Roman" w:eastAsia="Times New Roman" w:cs="Times New Roman"/>
          <w:strike/>
          <w:spacing w:val="-2"/>
          <w:sz w:val="24"/>
          <w:szCs w:val="24"/>
        </w:rPr>
        <w:t>1/2</w:t>
      </w:r>
      <w:r>
        <w:rPr>
          <w:rFonts w:ascii="宋体" w:hAnsi="宋体" w:eastAsia="宋体" w:cs="宋体"/>
          <w:strike/>
          <w:spacing w:val="-2"/>
          <w:sz w:val="24"/>
          <w:szCs w:val="24"/>
        </w:rPr>
        <w:t>。斜槎高度不得超过</w:t>
      </w:r>
      <w:r>
        <w:rPr>
          <w:rFonts w:ascii="宋体" w:hAnsi="宋体" w:eastAsia="宋体" w:cs="宋体"/>
          <w:spacing w:val="-2"/>
          <w:sz w:val="24"/>
          <w:szCs w:val="24"/>
        </w:rPr>
        <w:t>一</w:t>
      </w:r>
      <w:r>
        <w:rPr>
          <w:rFonts w:ascii="宋体" w:hAnsi="宋体" w:eastAsia="宋体" w:cs="宋体"/>
          <w:strike/>
          <w:spacing w:val="-2"/>
          <w:sz w:val="24"/>
          <w:szCs w:val="24"/>
        </w:rPr>
        <w:t>步脚手架高度。</w:t>
      </w:r>
    </w:p>
    <w:p w14:paraId="2A8CBCAE">
      <w:pPr>
        <w:spacing w:before="155" w:line="220"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6.1.8    </w:t>
      </w:r>
      <w:r>
        <w:rPr>
          <w:rFonts w:ascii="宋体" w:hAnsi="宋体" w:eastAsia="宋体" w:cs="宋体"/>
          <w:strike/>
          <w:sz w:val="24"/>
          <w:szCs w:val="24"/>
        </w:rPr>
        <w:t>承重墙体使用的小砌块应</w:t>
      </w:r>
      <w:r>
        <w:rPr>
          <w:rFonts w:ascii="宋体" w:hAnsi="宋体" w:eastAsia="宋体" w:cs="宋体"/>
          <w:strike/>
          <w:spacing w:val="-1"/>
          <w:sz w:val="24"/>
          <w:szCs w:val="24"/>
        </w:rPr>
        <w:t>完整、无破损、无裂缝。</w:t>
      </w:r>
    </w:p>
    <w:p w14:paraId="13FAF3C9">
      <w:pPr>
        <w:spacing w:before="155" w:line="220"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6.1.10    </w:t>
      </w:r>
      <w:r>
        <w:rPr>
          <w:rFonts w:ascii="宋体" w:hAnsi="宋体" w:eastAsia="宋体" w:cs="宋体"/>
          <w:strike/>
          <w:spacing w:val="-1"/>
          <w:sz w:val="24"/>
          <w:szCs w:val="24"/>
        </w:rPr>
        <w:t>小砌块应将生产时的底面朝上反砌于墙上。</w:t>
      </w:r>
    </w:p>
    <w:p w14:paraId="508B4041">
      <w:pPr>
        <w:spacing w:before="153" w:line="220"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6.2.1    </w:t>
      </w:r>
      <w:r>
        <w:rPr>
          <w:rFonts w:ascii="宋体" w:hAnsi="宋体" w:eastAsia="宋体" w:cs="宋体"/>
          <w:strike/>
          <w:sz w:val="24"/>
          <w:szCs w:val="24"/>
        </w:rPr>
        <w:t>小砌块和芯柱混凝土、砌筑砂浆的强度</w:t>
      </w:r>
      <w:r>
        <w:rPr>
          <w:rFonts w:ascii="宋体" w:hAnsi="宋体" w:eastAsia="宋体" w:cs="宋体"/>
          <w:strike/>
          <w:spacing w:val="-1"/>
          <w:sz w:val="24"/>
          <w:szCs w:val="24"/>
        </w:rPr>
        <w:t>等级必须符合设计要求。</w:t>
      </w:r>
    </w:p>
    <w:p w14:paraId="135D6B00">
      <w:pPr>
        <w:spacing w:before="154" w:line="299" w:lineRule="auto"/>
        <w:ind w:left="4" w:right="120" w:firstLine="1"/>
        <w:rPr>
          <w:rFonts w:ascii="宋体" w:hAnsi="宋体" w:eastAsia="宋体" w:cs="宋体"/>
          <w:sz w:val="24"/>
          <w:szCs w:val="24"/>
        </w:rPr>
      </w:pPr>
      <w:r>
        <w:rPr>
          <w:rFonts w:ascii="Times New Roman" w:hAnsi="Times New Roman" w:eastAsia="Times New Roman" w:cs="Times New Roman"/>
          <w:strike/>
          <w:sz w:val="24"/>
          <w:szCs w:val="24"/>
        </w:rPr>
        <w:t xml:space="preserve">6.2.3    </w:t>
      </w:r>
      <w:r>
        <w:rPr>
          <w:rFonts w:ascii="宋体" w:hAnsi="宋体" w:eastAsia="宋体" w:cs="宋体"/>
          <w:strike/>
          <w:sz w:val="24"/>
          <w:szCs w:val="24"/>
        </w:rPr>
        <w:t>墙体转角处和纵横交接处同时砌筑。临时间断处应</w:t>
      </w:r>
      <w:r>
        <w:rPr>
          <w:rFonts w:ascii="宋体" w:hAnsi="宋体" w:eastAsia="宋体" w:cs="宋体"/>
          <w:strike/>
          <w:spacing w:val="-1"/>
          <w:sz w:val="24"/>
          <w:szCs w:val="24"/>
        </w:rPr>
        <w:t>砌成斜槎，斜槎水平投影长</w:t>
      </w:r>
      <w:r>
        <w:rPr>
          <w:rFonts w:ascii="宋体" w:hAnsi="宋体" w:eastAsia="宋体" w:cs="宋体"/>
          <w:sz w:val="24"/>
          <w:szCs w:val="24"/>
        </w:rPr>
        <w:t xml:space="preserve"> </w:t>
      </w:r>
      <w:r>
        <w:rPr>
          <w:rFonts w:ascii="宋体" w:hAnsi="宋体" w:eastAsia="宋体" w:cs="宋体"/>
          <w:strike/>
          <w:sz w:val="24"/>
          <w:szCs w:val="24"/>
        </w:rPr>
        <w:t>度不应小于斜槎高度。施工洞口可预留直槎，但在洞口砌筑和</w:t>
      </w:r>
      <w:r>
        <w:rPr>
          <w:rFonts w:ascii="宋体" w:hAnsi="宋体" w:eastAsia="宋体" w:cs="宋体"/>
          <w:strike/>
          <w:spacing w:val="-1"/>
          <w:sz w:val="24"/>
          <w:szCs w:val="24"/>
        </w:rPr>
        <w:t>补砌时，应在直槎上下</w:t>
      </w:r>
      <w:r>
        <w:rPr>
          <w:rFonts w:ascii="宋体" w:hAnsi="宋体" w:eastAsia="宋体" w:cs="宋体"/>
          <w:sz w:val="24"/>
          <w:szCs w:val="24"/>
        </w:rPr>
        <w:t xml:space="preserve"> </w:t>
      </w:r>
      <w:r>
        <w:rPr>
          <w:rFonts w:ascii="宋体" w:hAnsi="宋体" w:eastAsia="宋体" w:cs="宋体"/>
          <w:strike/>
          <w:spacing w:val="-1"/>
          <w:sz w:val="24"/>
          <w:szCs w:val="24"/>
        </w:rPr>
        <w:t>搭砌的小砌块孔洞内用强度等级不低于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C20</w:t>
      </w:r>
      <w:r>
        <w:rPr>
          <w:rFonts w:ascii="宋体" w:hAnsi="宋体" w:eastAsia="宋体" w:cs="宋体"/>
          <w:strike/>
          <w:spacing w:val="-1"/>
          <w:sz w:val="24"/>
          <w:szCs w:val="24"/>
        </w:rPr>
        <w:t>（或</w:t>
      </w:r>
      <w:r>
        <w:rPr>
          <w:rFonts w:ascii="宋体" w:hAnsi="宋体" w:eastAsia="宋体" w:cs="宋体"/>
          <w:strike/>
          <w:spacing w:val="-40"/>
          <w:sz w:val="24"/>
          <w:szCs w:val="24"/>
        </w:rPr>
        <w:t xml:space="preserve"> </w:t>
      </w:r>
      <w:r>
        <w:rPr>
          <w:rFonts w:ascii="Times New Roman" w:hAnsi="Times New Roman" w:eastAsia="Times New Roman" w:cs="Times New Roman"/>
          <w:strike/>
          <w:spacing w:val="-1"/>
          <w:sz w:val="24"/>
          <w:szCs w:val="24"/>
        </w:rPr>
        <w:t>Cb20</w:t>
      </w:r>
      <w:r>
        <w:rPr>
          <w:rFonts w:ascii="宋体" w:hAnsi="宋体" w:eastAsia="宋体" w:cs="宋体"/>
          <w:strike/>
          <w:spacing w:val="-1"/>
          <w:sz w:val="24"/>
          <w:szCs w:val="24"/>
        </w:rPr>
        <w:t>）的混</w:t>
      </w:r>
      <w:r>
        <w:rPr>
          <w:rFonts w:ascii="宋体" w:hAnsi="宋体" w:eastAsia="宋体" w:cs="宋体"/>
          <w:strike/>
          <w:spacing w:val="-2"/>
          <w:sz w:val="24"/>
          <w:szCs w:val="24"/>
        </w:rPr>
        <w:t>凝土灌实。</w:t>
      </w:r>
    </w:p>
    <w:p w14:paraId="52B08DFD">
      <w:pPr>
        <w:spacing w:before="154"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7.1.10    </w:t>
      </w:r>
      <w:r>
        <w:rPr>
          <w:rFonts w:ascii="宋体" w:hAnsi="宋体" w:eastAsia="宋体" w:cs="宋体"/>
          <w:strike/>
          <w:sz w:val="24"/>
          <w:szCs w:val="24"/>
        </w:rPr>
        <w:t>挡土墙的泄水孔当设计无规定时，</w:t>
      </w:r>
      <w:r>
        <w:rPr>
          <w:rFonts w:ascii="宋体" w:hAnsi="宋体" w:eastAsia="宋体" w:cs="宋体"/>
          <w:strike/>
          <w:spacing w:val="-1"/>
          <w:sz w:val="24"/>
          <w:szCs w:val="24"/>
        </w:rPr>
        <w:t>施工应符合下列规定：</w:t>
      </w:r>
    </w:p>
    <w:p w14:paraId="53EA2D06">
      <w:pPr>
        <w:spacing w:line="220" w:lineRule="auto"/>
        <w:rPr>
          <w:rFonts w:ascii="宋体" w:hAnsi="宋体" w:eastAsia="宋体" w:cs="宋体"/>
          <w:sz w:val="24"/>
          <w:szCs w:val="24"/>
        </w:rPr>
        <w:sectPr>
          <w:footerReference r:id="rId18" w:type="default"/>
          <w:pgSz w:w="11907" w:h="16839"/>
          <w:pgMar w:top="400" w:right="1489" w:bottom="743" w:left="1421" w:header="0" w:footer="582" w:gutter="0"/>
          <w:cols w:space="720" w:num="1"/>
        </w:sectPr>
      </w:pPr>
    </w:p>
    <w:p w14:paraId="7DF827C2">
      <w:pPr>
        <w:pStyle w:val="2"/>
        <w:spacing w:line="303" w:lineRule="auto"/>
      </w:pPr>
    </w:p>
    <w:p w14:paraId="1AD7C392">
      <w:pPr>
        <w:pStyle w:val="2"/>
        <w:spacing w:line="303" w:lineRule="auto"/>
      </w:pPr>
    </w:p>
    <w:p w14:paraId="03AA0081">
      <w:pPr>
        <w:pStyle w:val="2"/>
        <w:spacing w:line="303" w:lineRule="auto"/>
      </w:pPr>
    </w:p>
    <w:p w14:paraId="640A34E0">
      <w:pPr>
        <w:spacing w:before="78" w:line="220" w:lineRule="auto"/>
        <w:ind w:left="50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泄水孔应均匀设置，在每米高度上间隔</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2m </w:t>
      </w:r>
      <w:r>
        <w:rPr>
          <w:rFonts w:ascii="宋体" w:hAnsi="宋体" w:eastAsia="宋体" w:cs="宋体"/>
          <w:strike/>
          <w:spacing w:val="-1"/>
          <w:sz w:val="24"/>
          <w:szCs w:val="24"/>
        </w:rPr>
        <w:t>左右设置</w:t>
      </w:r>
      <w:r>
        <w:rPr>
          <w:rFonts w:ascii="宋体" w:hAnsi="宋体" w:eastAsia="宋体" w:cs="宋体"/>
          <w:spacing w:val="-1"/>
          <w:sz w:val="24"/>
          <w:szCs w:val="24"/>
        </w:rPr>
        <w:t>一</w:t>
      </w:r>
      <w:r>
        <w:rPr>
          <w:rFonts w:ascii="宋体" w:hAnsi="宋体" w:eastAsia="宋体" w:cs="宋体"/>
          <w:strike/>
          <w:spacing w:val="-1"/>
          <w:sz w:val="24"/>
          <w:szCs w:val="24"/>
        </w:rPr>
        <w:t>个泄水孔；</w:t>
      </w:r>
    </w:p>
    <w:p w14:paraId="32DFF7A2">
      <w:pPr>
        <w:spacing w:before="154" w:line="220" w:lineRule="auto"/>
        <w:ind w:left="485"/>
        <w:rPr>
          <w:rFonts w:ascii="宋体" w:hAnsi="宋体" w:eastAsia="宋体" w:cs="宋体"/>
          <w:sz w:val="24"/>
          <w:szCs w:val="24"/>
        </w:rPr>
      </w:pP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泄水孔与土体间铺设长宽各为</w:t>
      </w:r>
      <w:r>
        <w:rPr>
          <w:rFonts w:ascii="宋体" w:hAnsi="宋体" w:eastAsia="宋体" w:cs="宋体"/>
          <w:strike/>
          <w:spacing w:val="-34"/>
          <w:sz w:val="24"/>
          <w:szCs w:val="24"/>
        </w:rPr>
        <w:t xml:space="preserve"> </w:t>
      </w:r>
      <w:r>
        <w:rPr>
          <w:rFonts w:ascii="Times New Roman" w:hAnsi="Times New Roman" w:eastAsia="Times New Roman" w:cs="Times New Roman"/>
          <w:strike/>
          <w:spacing w:val="-2"/>
          <w:sz w:val="24"/>
          <w:szCs w:val="24"/>
        </w:rPr>
        <w:t>300mm</w:t>
      </w:r>
      <w:r>
        <w:rPr>
          <w:rFonts w:ascii="宋体" w:hAnsi="宋体" w:eastAsia="宋体" w:cs="宋体"/>
          <w:strike/>
          <w:spacing w:val="-2"/>
          <w:sz w:val="24"/>
          <w:szCs w:val="24"/>
        </w:rPr>
        <w:t>、厚</w:t>
      </w:r>
      <w:r>
        <w:rPr>
          <w:rFonts w:ascii="宋体" w:hAnsi="宋体" w:eastAsia="宋体" w:cs="宋体"/>
          <w:strike/>
          <w:spacing w:val="-44"/>
          <w:sz w:val="24"/>
          <w:szCs w:val="24"/>
        </w:rPr>
        <w:t xml:space="preserve"> </w:t>
      </w:r>
      <w:r>
        <w:rPr>
          <w:rFonts w:ascii="Times New Roman" w:hAnsi="Times New Roman" w:eastAsia="Times New Roman" w:cs="Times New Roman"/>
          <w:strike/>
          <w:spacing w:val="-2"/>
          <w:sz w:val="24"/>
          <w:szCs w:val="24"/>
        </w:rPr>
        <w:t>200mm</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的卵石或碎石作疏水层。</w:t>
      </w:r>
    </w:p>
    <w:p w14:paraId="5E2A7545">
      <w:pPr>
        <w:spacing w:before="153" w:line="219" w:lineRule="auto"/>
        <w:ind w:left="8"/>
        <w:rPr>
          <w:rFonts w:ascii="宋体" w:hAnsi="宋体" w:eastAsia="宋体" w:cs="宋体"/>
          <w:sz w:val="24"/>
          <w:szCs w:val="24"/>
        </w:rPr>
      </w:pPr>
      <w:r>
        <w:rPr>
          <w:rFonts w:ascii="Times New Roman" w:hAnsi="Times New Roman" w:eastAsia="Times New Roman" w:cs="Times New Roman"/>
          <w:strike/>
          <w:spacing w:val="-1"/>
          <w:sz w:val="24"/>
          <w:szCs w:val="24"/>
        </w:rPr>
        <w:t xml:space="preserve">7.2.1    </w:t>
      </w:r>
      <w:r>
        <w:rPr>
          <w:rFonts w:ascii="宋体" w:hAnsi="宋体" w:eastAsia="宋体" w:cs="宋体"/>
          <w:strike/>
          <w:spacing w:val="-1"/>
          <w:sz w:val="24"/>
          <w:szCs w:val="24"/>
        </w:rPr>
        <w:t>石材及砂浆强度等级必须符合设计要求。</w:t>
      </w:r>
    </w:p>
    <w:p w14:paraId="727F3D47">
      <w:pPr>
        <w:spacing w:before="155" w:line="220" w:lineRule="auto"/>
        <w:ind w:left="14"/>
        <w:rPr>
          <w:rFonts w:ascii="宋体" w:hAnsi="宋体" w:eastAsia="宋体" w:cs="宋体"/>
          <w:sz w:val="24"/>
          <w:szCs w:val="24"/>
        </w:rPr>
      </w:pPr>
      <w:r>
        <w:rPr>
          <w:rFonts w:ascii="Times New Roman" w:hAnsi="Times New Roman" w:eastAsia="Times New Roman" w:cs="Times New Roman"/>
          <w:strike/>
          <w:spacing w:val="-1"/>
          <w:sz w:val="24"/>
          <w:szCs w:val="24"/>
        </w:rPr>
        <w:t xml:space="preserve">8.2.1    </w:t>
      </w:r>
      <w:r>
        <w:rPr>
          <w:rFonts w:ascii="宋体" w:hAnsi="宋体" w:eastAsia="宋体" w:cs="宋体"/>
          <w:strike/>
          <w:spacing w:val="-1"/>
          <w:sz w:val="24"/>
          <w:szCs w:val="24"/>
        </w:rPr>
        <w:t>钢筋的品种、规格、数量和设置部位应符合设计要求。</w:t>
      </w:r>
    </w:p>
    <w:p w14:paraId="151DC2F5">
      <w:pPr>
        <w:spacing w:before="154" w:line="279" w:lineRule="auto"/>
        <w:ind w:left="13" w:right="120" w:firstLine="1"/>
        <w:rPr>
          <w:rFonts w:ascii="宋体" w:hAnsi="宋体" w:eastAsia="宋体" w:cs="宋体"/>
          <w:sz w:val="24"/>
          <w:szCs w:val="24"/>
        </w:rPr>
      </w:pPr>
      <w:r>
        <w:rPr>
          <w:rFonts w:ascii="Times New Roman" w:hAnsi="Times New Roman" w:eastAsia="Times New Roman" w:cs="Times New Roman"/>
          <w:strike/>
          <w:sz w:val="24"/>
          <w:szCs w:val="24"/>
        </w:rPr>
        <w:t xml:space="preserve">8.2.2    </w:t>
      </w:r>
      <w:r>
        <w:rPr>
          <w:rFonts w:ascii="宋体" w:hAnsi="宋体" w:eastAsia="宋体" w:cs="宋体"/>
          <w:strike/>
          <w:sz w:val="24"/>
          <w:szCs w:val="24"/>
        </w:rPr>
        <w:t>构造柱、芯柱、组合砌体构件、配筋砌体</w:t>
      </w:r>
      <w:r>
        <w:rPr>
          <w:rFonts w:ascii="宋体" w:hAnsi="宋体" w:eastAsia="宋体" w:cs="宋体"/>
          <w:strike/>
          <w:spacing w:val="-1"/>
          <w:sz w:val="24"/>
          <w:szCs w:val="24"/>
        </w:rPr>
        <w:t>剪力墙构件的混凝土及砂浆的强度等</w:t>
      </w:r>
      <w:r>
        <w:rPr>
          <w:rFonts w:ascii="宋体" w:hAnsi="宋体" w:eastAsia="宋体" w:cs="宋体"/>
          <w:sz w:val="24"/>
          <w:szCs w:val="24"/>
        </w:rPr>
        <w:t xml:space="preserve"> </w:t>
      </w:r>
      <w:r>
        <w:rPr>
          <w:rFonts w:ascii="宋体" w:hAnsi="宋体" w:eastAsia="宋体" w:cs="宋体"/>
          <w:strike/>
          <w:spacing w:val="-2"/>
          <w:sz w:val="24"/>
          <w:szCs w:val="24"/>
        </w:rPr>
        <w:t>级应符合设计要求。</w:t>
      </w:r>
    </w:p>
    <w:p w14:paraId="065769CE">
      <w:pPr>
        <w:spacing w:before="154" w:line="219" w:lineRule="auto"/>
        <w:ind w:left="28"/>
        <w:rPr>
          <w:rFonts w:ascii="宋体" w:hAnsi="宋体" w:eastAsia="宋体" w:cs="宋体"/>
          <w:sz w:val="24"/>
          <w:szCs w:val="24"/>
        </w:rPr>
      </w:pPr>
      <w:r>
        <w:rPr>
          <w:rFonts w:ascii="Times New Roman" w:hAnsi="Times New Roman" w:eastAsia="Times New Roman" w:cs="Times New Roman"/>
          <w:strike/>
          <w:spacing w:val="-1"/>
          <w:sz w:val="24"/>
          <w:szCs w:val="24"/>
        </w:rPr>
        <w:t xml:space="preserve">10.0.4    </w:t>
      </w:r>
      <w:r>
        <w:rPr>
          <w:rFonts w:ascii="宋体" w:hAnsi="宋体" w:eastAsia="宋体" w:cs="宋体"/>
          <w:strike/>
          <w:spacing w:val="-1"/>
          <w:sz w:val="24"/>
          <w:szCs w:val="24"/>
        </w:rPr>
        <w:t>冬期施工所用材料应符合下列</w:t>
      </w:r>
      <w:r>
        <w:rPr>
          <w:rFonts w:ascii="宋体" w:hAnsi="宋体" w:eastAsia="宋体" w:cs="宋体"/>
          <w:strike/>
          <w:spacing w:val="-2"/>
          <w:sz w:val="24"/>
          <w:szCs w:val="24"/>
        </w:rPr>
        <w:t>规定：</w:t>
      </w:r>
    </w:p>
    <w:p w14:paraId="01090A70">
      <w:pPr>
        <w:spacing w:before="156" w:line="219" w:lineRule="auto"/>
        <w:ind w:left="50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石灰膏、电石膏等应防止受冻，如遭冻结，应经融化后使用；</w:t>
      </w:r>
    </w:p>
    <w:p w14:paraId="09C71DFC">
      <w:pPr>
        <w:spacing w:before="154" w:line="220" w:lineRule="auto"/>
        <w:ind w:left="485"/>
        <w:rPr>
          <w:rFonts w:ascii="宋体" w:hAnsi="宋体" w:eastAsia="宋体" w:cs="宋体"/>
          <w:sz w:val="24"/>
          <w:szCs w:val="24"/>
        </w:rPr>
      </w:pP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拌制砂浆用砂，不得含有冰块和大于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10mm</w:t>
      </w:r>
      <w:r>
        <w:rPr>
          <w:rFonts w:ascii="Times New Roman" w:hAnsi="Times New Roman" w:eastAsia="Times New Roman" w:cs="Times New Roman"/>
          <w:strike/>
          <w:spacing w:val="28"/>
          <w:sz w:val="24"/>
          <w:szCs w:val="24"/>
        </w:rPr>
        <w:t xml:space="preserve"> </w:t>
      </w:r>
      <w:r>
        <w:rPr>
          <w:rFonts w:ascii="宋体" w:hAnsi="宋体" w:eastAsia="宋体" w:cs="宋体"/>
          <w:strike/>
          <w:spacing w:val="-2"/>
          <w:sz w:val="24"/>
          <w:szCs w:val="24"/>
        </w:rPr>
        <w:t>的冻结块；</w:t>
      </w:r>
    </w:p>
    <w:p w14:paraId="742B63EE">
      <w:pPr>
        <w:spacing w:before="154" w:line="220" w:lineRule="auto"/>
        <w:ind w:left="48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砌体用块体不得遭水浸冻。</w:t>
      </w:r>
    </w:p>
    <w:p w14:paraId="1AAB0538">
      <w:pPr>
        <w:spacing w:before="202" w:line="226" w:lineRule="auto"/>
        <w:ind w:left="9"/>
        <w:outlineLvl w:val="1"/>
        <w:rPr>
          <w:rFonts w:ascii="宋体" w:hAnsi="宋体" w:eastAsia="宋体" w:cs="宋体"/>
          <w:sz w:val="27"/>
          <w:szCs w:val="27"/>
        </w:rPr>
      </w:pPr>
      <w:bookmarkStart w:id="20" w:name="bookmark69"/>
      <w:bookmarkEnd w:id="20"/>
      <w:r>
        <w:rPr>
          <w:rFonts w:ascii="Times New Roman" w:hAnsi="Times New Roman" w:eastAsia="Times New Roman" w:cs="Times New Roman"/>
          <w:b/>
          <w:bCs/>
          <w:spacing w:val="6"/>
          <w:sz w:val="27"/>
          <w:szCs w:val="27"/>
        </w:rPr>
        <w:t>5.</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50204-2015  </w:t>
      </w:r>
      <w:r>
        <w:rPr>
          <w:rFonts w:ascii="宋体" w:hAnsi="宋体" w:eastAsia="宋体" w:cs="宋体"/>
          <w:b/>
          <w:bCs/>
          <w:spacing w:val="6"/>
          <w:sz w:val="27"/>
          <w:szCs w:val="27"/>
        </w:rPr>
        <w:t>混凝土结构工程施工质量验收规范【强条已废】</w:t>
      </w:r>
    </w:p>
    <w:p w14:paraId="7B850CA0">
      <w:pPr>
        <w:spacing w:before="140" w:line="373" w:lineRule="auto"/>
        <w:ind w:left="36"/>
        <w:rPr>
          <w:rFonts w:ascii="宋体" w:hAnsi="宋体" w:eastAsia="宋体" w:cs="宋体"/>
          <w:sz w:val="24"/>
          <w:szCs w:val="24"/>
        </w:rPr>
      </w:pPr>
      <w:r>
        <w:rPr>
          <w:rFonts w:ascii="宋体" w:hAnsi="宋体" w:eastAsia="宋体" w:cs="宋体"/>
          <w:b/>
          <w:bCs/>
          <w:color w:val="FF0000"/>
          <w:sz w:val="24"/>
          <w:szCs w:val="24"/>
        </w:rPr>
        <w:t>以下条目已被</w:t>
      </w:r>
      <w:r>
        <w:rPr>
          <w:rFonts w:ascii="Times New Roman" w:hAnsi="Times New Roman" w:eastAsia="Times New Roman" w:cs="Times New Roman"/>
          <w:color w:val="0563C1"/>
          <w:sz w:val="24"/>
          <w:szCs w:val="24"/>
          <w:u w:val="single" w:color="auto"/>
        </w:rPr>
        <w:t xml:space="preserve">GB55008-2021 </w:t>
      </w:r>
      <w:r>
        <w:rPr>
          <w:rFonts w:ascii="宋体" w:hAnsi="宋体" w:eastAsia="宋体" w:cs="宋体"/>
          <w:color w:val="0563C1"/>
          <w:sz w:val="24"/>
          <w:szCs w:val="24"/>
          <w:u w:val="single" w:color="auto"/>
        </w:rPr>
        <w:t>混凝土结构通用规范</w:t>
      </w:r>
      <w:r>
        <w:rPr>
          <w:rFonts w:ascii="宋体" w:hAnsi="宋体" w:eastAsia="宋体" w:cs="宋体"/>
          <w:b/>
          <w:bCs/>
          <w:color w:val="FF0000"/>
          <w:sz w:val="24"/>
          <w:szCs w:val="24"/>
        </w:rPr>
        <w:t>替代</w:t>
      </w:r>
    </w:p>
    <w:p w14:paraId="47413A97">
      <w:pPr>
        <w:spacing w:before="101" w:line="279" w:lineRule="auto"/>
        <w:ind w:left="9" w:hanging="1"/>
        <w:rPr>
          <w:rFonts w:ascii="宋体" w:hAnsi="宋体" w:eastAsia="宋体" w:cs="宋体"/>
          <w:sz w:val="24"/>
          <w:szCs w:val="24"/>
        </w:rPr>
      </w:pPr>
      <w:r>
        <w:rPr>
          <w:rFonts w:ascii="宋体" w:hAnsi="宋体" w:eastAsia="宋体" w:cs="宋体"/>
          <w:strike/>
          <w:sz w:val="24"/>
          <w:szCs w:val="24"/>
        </w:rPr>
        <w:t>4.1.2  模板及支架应根据安装、使用和拆除工况进行设计，并</w:t>
      </w:r>
      <w:r>
        <w:rPr>
          <w:rFonts w:ascii="宋体" w:hAnsi="宋体" w:eastAsia="宋体" w:cs="宋体"/>
          <w:strike/>
          <w:spacing w:val="-1"/>
          <w:sz w:val="24"/>
          <w:szCs w:val="24"/>
        </w:rPr>
        <w:t>应满足承载力、刚度和</w:t>
      </w:r>
      <w:r>
        <w:rPr>
          <w:rFonts w:ascii="宋体" w:hAnsi="宋体" w:eastAsia="宋体" w:cs="宋体"/>
          <w:sz w:val="24"/>
          <w:szCs w:val="24"/>
        </w:rPr>
        <w:t xml:space="preserve"> </w:t>
      </w:r>
      <w:r>
        <w:rPr>
          <w:rFonts w:ascii="宋体" w:hAnsi="宋体" w:eastAsia="宋体" w:cs="宋体"/>
          <w:strike/>
          <w:spacing w:val="-2"/>
          <w:sz w:val="24"/>
          <w:szCs w:val="24"/>
        </w:rPr>
        <w:t>整体稳固性要求。</w:t>
      </w:r>
    </w:p>
    <w:p w14:paraId="62350BD9">
      <w:pPr>
        <w:spacing w:before="154" w:line="279" w:lineRule="auto"/>
        <w:ind w:left="11" w:firstLine="2"/>
        <w:rPr>
          <w:rFonts w:ascii="宋体" w:hAnsi="宋体" w:eastAsia="宋体" w:cs="宋体"/>
          <w:sz w:val="24"/>
          <w:szCs w:val="24"/>
        </w:rPr>
      </w:pPr>
      <w:r>
        <w:rPr>
          <w:rFonts w:ascii="宋体" w:hAnsi="宋体" w:eastAsia="宋体" w:cs="宋体"/>
          <w:strike/>
          <w:sz w:val="24"/>
          <w:szCs w:val="24"/>
        </w:rPr>
        <w:t>5.2.1  钢筋进场时，应按国家现行标准的规定抽</w:t>
      </w:r>
      <w:r>
        <w:rPr>
          <w:rFonts w:ascii="宋体" w:hAnsi="宋体" w:eastAsia="宋体" w:cs="宋体"/>
          <w:strike/>
          <w:spacing w:val="-1"/>
          <w:sz w:val="24"/>
          <w:szCs w:val="24"/>
        </w:rPr>
        <w:t>取试件作屈服强度、抗拉强度、伸长</w:t>
      </w:r>
      <w:r>
        <w:rPr>
          <w:rFonts w:ascii="宋体" w:hAnsi="宋体" w:eastAsia="宋体" w:cs="宋体"/>
          <w:sz w:val="24"/>
          <w:szCs w:val="24"/>
        </w:rPr>
        <w:t xml:space="preserve"> </w:t>
      </w:r>
      <w:r>
        <w:rPr>
          <w:rFonts w:ascii="宋体" w:hAnsi="宋体" w:eastAsia="宋体" w:cs="宋体"/>
          <w:strike/>
          <w:spacing w:val="-1"/>
          <w:sz w:val="24"/>
          <w:szCs w:val="24"/>
        </w:rPr>
        <w:t>率、弯曲性能和重量偏差检验，检验结果应符合相应标准的规定。</w:t>
      </w:r>
    </w:p>
    <w:p w14:paraId="18BDD528">
      <w:pPr>
        <w:tabs>
          <w:tab w:val="left" w:pos="480"/>
        </w:tabs>
        <w:spacing w:before="155"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98"/>
          <w:sz w:val="24"/>
          <w:szCs w:val="24"/>
        </w:rPr>
        <w:t xml:space="preserve"> </w:t>
      </w:r>
      <w:r>
        <w:rPr>
          <w:rFonts w:ascii="宋体" w:hAnsi="宋体" w:eastAsia="宋体" w:cs="宋体"/>
          <w:strike/>
          <w:spacing w:val="-1"/>
          <w:sz w:val="24"/>
          <w:szCs w:val="24"/>
        </w:rPr>
        <w:t>检查数量：按进场批次和产品的抽样检验方案确定。</w:t>
      </w:r>
    </w:p>
    <w:p w14:paraId="70320D96">
      <w:pPr>
        <w:tabs>
          <w:tab w:val="left" w:pos="480"/>
        </w:tabs>
        <w:spacing w:before="155" w:line="218"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00"/>
          <w:sz w:val="24"/>
          <w:szCs w:val="24"/>
        </w:rPr>
        <w:t xml:space="preserve"> </w:t>
      </w:r>
      <w:r>
        <w:rPr>
          <w:rFonts w:ascii="宋体" w:hAnsi="宋体" w:eastAsia="宋体" w:cs="宋体"/>
          <w:strike/>
          <w:spacing w:val="-1"/>
          <w:sz w:val="24"/>
          <w:szCs w:val="24"/>
        </w:rPr>
        <w:t>检验方法：检查质量证明文件和抽样检验报告。</w:t>
      </w:r>
    </w:p>
    <w:p w14:paraId="24960ED9">
      <w:pPr>
        <w:spacing w:before="157" w:line="338" w:lineRule="auto"/>
        <w:ind w:left="7" w:firstLine="6"/>
        <w:jc w:val="both"/>
        <w:rPr>
          <w:rFonts w:ascii="宋体" w:hAnsi="宋体" w:eastAsia="宋体" w:cs="宋体"/>
          <w:sz w:val="24"/>
          <w:szCs w:val="24"/>
        </w:rPr>
      </w:pPr>
      <w:r>
        <w:rPr>
          <w:rFonts w:ascii="宋体" w:hAnsi="宋体" w:eastAsia="宋体" w:cs="宋体"/>
          <w:strike/>
          <w:sz w:val="24"/>
          <w:szCs w:val="24"/>
        </w:rPr>
        <w:t>5.2.3  对按</w:t>
      </w:r>
      <w:r>
        <w:rPr>
          <w:rFonts w:ascii="宋体" w:hAnsi="宋体" w:eastAsia="宋体" w:cs="宋体"/>
          <w:sz w:val="24"/>
          <w:szCs w:val="24"/>
        </w:rPr>
        <w:t>一</w:t>
      </w:r>
      <w:r>
        <w:rPr>
          <w:rFonts w:ascii="宋体" w:hAnsi="宋体" w:eastAsia="宋体" w:cs="宋体"/>
          <w:strike/>
          <w:sz w:val="24"/>
          <w:szCs w:val="24"/>
        </w:rPr>
        <w:t>、二、三级抗震等级设计的框架和斜</w:t>
      </w:r>
      <w:r>
        <w:rPr>
          <w:rFonts w:ascii="宋体" w:hAnsi="宋体" w:eastAsia="宋体" w:cs="宋体"/>
          <w:strike/>
          <w:spacing w:val="-1"/>
          <w:sz w:val="24"/>
          <w:szCs w:val="24"/>
        </w:rPr>
        <w:t>撑构件(含梯段)中的纵向受力普通</w:t>
      </w:r>
      <w:r>
        <w:rPr>
          <w:rFonts w:ascii="宋体" w:hAnsi="宋体" w:eastAsia="宋体" w:cs="宋体"/>
          <w:sz w:val="24"/>
          <w:szCs w:val="24"/>
        </w:rPr>
        <w:t xml:space="preserve"> </w:t>
      </w:r>
      <w:r>
        <w:rPr>
          <w:rFonts w:ascii="宋体" w:hAnsi="宋体" w:eastAsia="宋体" w:cs="宋体"/>
          <w:strike/>
          <w:sz w:val="24"/>
          <w:szCs w:val="24"/>
        </w:rPr>
        <w:t>钢筋应采用</w:t>
      </w:r>
      <w:r>
        <w:rPr>
          <w:rFonts w:ascii="宋体" w:hAnsi="宋体" w:eastAsia="宋体" w:cs="宋体"/>
          <w:strike/>
          <w:spacing w:val="-56"/>
          <w:sz w:val="24"/>
          <w:szCs w:val="24"/>
        </w:rPr>
        <w:t xml:space="preserve"> </w:t>
      </w:r>
      <w:r>
        <w:rPr>
          <w:rFonts w:ascii="宋体" w:hAnsi="宋体" w:eastAsia="宋体" w:cs="宋体"/>
          <w:strike/>
          <w:sz w:val="24"/>
          <w:szCs w:val="24"/>
        </w:rPr>
        <w:t>HRB335E、HRB400E、HR</w:t>
      </w:r>
      <w:r>
        <w:rPr>
          <w:rFonts w:ascii="宋体" w:hAnsi="宋体" w:eastAsia="宋体" w:cs="宋体"/>
          <w:strike/>
          <w:spacing w:val="-1"/>
          <w:sz w:val="24"/>
          <w:szCs w:val="24"/>
        </w:rPr>
        <w:t>B500E、HRBF335E、HRBF400E</w:t>
      </w:r>
      <w:r>
        <w:rPr>
          <w:rFonts w:ascii="宋体" w:hAnsi="宋体" w:eastAsia="宋体" w:cs="宋体"/>
          <w:strike/>
          <w:spacing w:val="-48"/>
          <w:sz w:val="24"/>
          <w:szCs w:val="24"/>
        </w:rPr>
        <w:t xml:space="preserve"> </w:t>
      </w:r>
      <w:r>
        <w:rPr>
          <w:rFonts w:ascii="宋体" w:hAnsi="宋体" w:eastAsia="宋体" w:cs="宋体"/>
          <w:strike/>
          <w:spacing w:val="-1"/>
          <w:sz w:val="24"/>
          <w:szCs w:val="24"/>
        </w:rPr>
        <w:t>或</w:t>
      </w:r>
      <w:r>
        <w:rPr>
          <w:rFonts w:ascii="宋体" w:hAnsi="宋体" w:eastAsia="宋体" w:cs="宋体"/>
          <w:strike/>
          <w:spacing w:val="-56"/>
          <w:sz w:val="24"/>
          <w:szCs w:val="24"/>
        </w:rPr>
        <w:t xml:space="preserve"> </w:t>
      </w:r>
      <w:r>
        <w:rPr>
          <w:rFonts w:ascii="宋体" w:hAnsi="宋体" w:eastAsia="宋体" w:cs="宋体"/>
          <w:strike/>
          <w:spacing w:val="-1"/>
          <w:sz w:val="24"/>
          <w:szCs w:val="24"/>
        </w:rPr>
        <w:t>HRBF500E</w:t>
      </w:r>
      <w:r>
        <w:rPr>
          <w:rFonts w:ascii="宋体" w:hAnsi="宋体" w:eastAsia="宋体" w:cs="宋体"/>
          <w:strike/>
          <w:spacing w:val="-53"/>
          <w:sz w:val="24"/>
          <w:szCs w:val="24"/>
        </w:rPr>
        <w:t xml:space="preserve"> </w:t>
      </w:r>
      <w:r>
        <w:rPr>
          <w:rFonts w:ascii="宋体" w:hAnsi="宋体" w:eastAsia="宋体" w:cs="宋体"/>
          <w:strike/>
          <w:spacing w:val="-1"/>
          <w:sz w:val="24"/>
          <w:szCs w:val="24"/>
        </w:rPr>
        <w:t>钢筋，其</w:t>
      </w:r>
      <w:r>
        <w:rPr>
          <w:rFonts w:ascii="宋体" w:hAnsi="宋体" w:eastAsia="宋体" w:cs="宋体"/>
          <w:sz w:val="24"/>
          <w:szCs w:val="24"/>
        </w:rPr>
        <w:t xml:space="preserve"> </w:t>
      </w:r>
      <w:r>
        <w:rPr>
          <w:rFonts w:ascii="宋体" w:hAnsi="宋体" w:eastAsia="宋体" w:cs="宋体"/>
          <w:strike/>
          <w:spacing w:val="-1"/>
          <w:sz w:val="24"/>
          <w:szCs w:val="24"/>
        </w:rPr>
        <w:t>强度和最大力下总伸长率的实测值应符合下列规定：</w:t>
      </w:r>
    </w:p>
    <w:p w14:paraId="468D84C1">
      <w:pPr>
        <w:tabs>
          <w:tab w:val="left" w:pos="480"/>
        </w:tabs>
        <w:spacing w:before="1" w:line="219"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89"/>
          <w:sz w:val="24"/>
          <w:szCs w:val="24"/>
        </w:rPr>
        <w:t xml:space="preserve"> </w:t>
      </w:r>
      <w:r>
        <w:rPr>
          <w:rFonts w:ascii="宋体" w:hAnsi="宋体" w:eastAsia="宋体" w:cs="宋体"/>
          <w:strike/>
          <w:spacing w:val="-1"/>
          <w:sz w:val="24"/>
          <w:szCs w:val="24"/>
        </w:rPr>
        <w:t>1  抗拉强度实测值与屈服强度实测值的比值不应小于</w:t>
      </w:r>
      <w:r>
        <w:rPr>
          <w:rFonts w:ascii="宋体" w:hAnsi="宋体" w:eastAsia="宋体" w:cs="宋体"/>
          <w:strike/>
          <w:spacing w:val="-32"/>
          <w:sz w:val="24"/>
          <w:szCs w:val="24"/>
        </w:rPr>
        <w:t xml:space="preserve"> </w:t>
      </w:r>
      <w:r>
        <w:rPr>
          <w:rFonts w:ascii="宋体" w:hAnsi="宋体" w:eastAsia="宋体" w:cs="宋体"/>
          <w:strike/>
          <w:spacing w:val="-1"/>
          <w:sz w:val="24"/>
          <w:szCs w:val="24"/>
        </w:rPr>
        <w:t>1.25；</w:t>
      </w:r>
    </w:p>
    <w:p w14:paraId="4133DCAA">
      <w:pPr>
        <w:tabs>
          <w:tab w:val="left" w:pos="480"/>
        </w:tabs>
        <w:spacing w:before="154"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08"/>
          <w:sz w:val="24"/>
          <w:szCs w:val="24"/>
        </w:rPr>
        <w:t xml:space="preserve"> </w:t>
      </w:r>
      <w:r>
        <w:rPr>
          <w:rFonts w:ascii="宋体" w:hAnsi="宋体" w:eastAsia="宋体" w:cs="宋体"/>
          <w:strike/>
          <w:sz w:val="24"/>
          <w:szCs w:val="24"/>
        </w:rPr>
        <w:t>2  屈服强度实测值与屈服强度标准值的</w:t>
      </w:r>
      <w:r>
        <w:rPr>
          <w:rFonts w:ascii="宋体" w:hAnsi="宋体" w:eastAsia="宋体" w:cs="宋体"/>
          <w:strike/>
          <w:spacing w:val="-1"/>
          <w:sz w:val="24"/>
          <w:szCs w:val="24"/>
        </w:rPr>
        <w:t>比值不应大于</w:t>
      </w:r>
      <w:r>
        <w:rPr>
          <w:rFonts w:ascii="宋体" w:hAnsi="宋体" w:eastAsia="宋体" w:cs="宋体"/>
          <w:strike/>
          <w:spacing w:val="-33"/>
          <w:sz w:val="24"/>
          <w:szCs w:val="24"/>
        </w:rPr>
        <w:t xml:space="preserve"> </w:t>
      </w:r>
      <w:r>
        <w:rPr>
          <w:rFonts w:ascii="宋体" w:hAnsi="宋体" w:eastAsia="宋体" w:cs="宋体"/>
          <w:strike/>
          <w:spacing w:val="-1"/>
          <w:sz w:val="24"/>
          <w:szCs w:val="24"/>
        </w:rPr>
        <w:t>1.30；</w:t>
      </w:r>
    </w:p>
    <w:p w14:paraId="646192ED">
      <w:pPr>
        <w:tabs>
          <w:tab w:val="left" w:pos="480"/>
        </w:tabs>
        <w:spacing w:before="155"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96"/>
          <w:sz w:val="24"/>
          <w:szCs w:val="24"/>
        </w:rPr>
        <w:t xml:space="preserve"> </w:t>
      </w:r>
      <w:r>
        <w:rPr>
          <w:rFonts w:ascii="宋体" w:hAnsi="宋体" w:eastAsia="宋体" w:cs="宋体"/>
          <w:strike/>
          <w:spacing w:val="-2"/>
          <w:sz w:val="24"/>
          <w:szCs w:val="24"/>
        </w:rPr>
        <w:t>3  最大力下总伸长率不应小于</w:t>
      </w:r>
      <w:r>
        <w:rPr>
          <w:rFonts w:ascii="宋体" w:hAnsi="宋体" w:eastAsia="宋体" w:cs="宋体"/>
          <w:strike/>
          <w:spacing w:val="-50"/>
          <w:sz w:val="24"/>
          <w:szCs w:val="24"/>
        </w:rPr>
        <w:t xml:space="preserve"> </w:t>
      </w:r>
      <w:r>
        <w:rPr>
          <w:rFonts w:ascii="宋体" w:hAnsi="宋体" w:eastAsia="宋体" w:cs="宋体"/>
          <w:strike/>
          <w:spacing w:val="-2"/>
          <w:sz w:val="24"/>
          <w:szCs w:val="24"/>
        </w:rPr>
        <w:t>9％。</w:t>
      </w:r>
    </w:p>
    <w:p w14:paraId="3213389D">
      <w:pPr>
        <w:tabs>
          <w:tab w:val="left" w:pos="480"/>
        </w:tabs>
        <w:spacing w:before="153"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97"/>
          <w:sz w:val="24"/>
          <w:szCs w:val="24"/>
        </w:rPr>
        <w:t xml:space="preserve"> </w:t>
      </w:r>
      <w:r>
        <w:rPr>
          <w:rFonts w:ascii="宋体" w:hAnsi="宋体" w:eastAsia="宋体" w:cs="宋体"/>
          <w:strike/>
          <w:spacing w:val="-1"/>
          <w:sz w:val="24"/>
          <w:szCs w:val="24"/>
        </w:rPr>
        <w:t>检查数量：按进场的批次和产品的抽样检验方案确定。</w:t>
      </w:r>
    </w:p>
    <w:p w14:paraId="05829275">
      <w:pPr>
        <w:tabs>
          <w:tab w:val="left" w:pos="480"/>
        </w:tabs>
        <w:spacing w:before="155" w:line="218"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07"/>
          <w:sz w:val="24"/>
          <w:szCs w:val="24"/>
        </w:rPr>
        <w:t xml:space="preserve"> </w:t>
      </w:r>
      <w:r>
        <w:rPr>
          <w:rFonts w:ascii="宋体" w:hAnsi="宋体" w:eastAsia="宋体" w:cs="宋体"/>
          <w:strike/>
          <w:spacing w:val="-1"/>
          <w:sz w:val="24"/>
          <w:szCs w:val="24"/>
        </w:rPr>
        <w:t>检验方法：检查抽样检验报告。</w:t>
      </w:r>
    </w:p>
    <w:p w14:paraId="04DD3A24">
      <w:pPr>
        <w:spacing w:before="156" w:line="220" w:lineRule="auto"/>
        <w:ind w:left="14"/>
        <w:rPr>
          <w:rFonts w:ascii="宋体" w:hAnsi="宋体" w:eastAsia="宋体" w:cs="宋体"/>
          <w:sz w:val="24"/>
          <w:szCs w:val="24"/>
        </w:rPr>
      </w:pPr>
      <w:r>
        <w:rPr>
          <w:rFonts w:ascii="宋体" w:hAnsi="宋体" w:eastAsia="宋体" w:cs="宋体"/>
          <w:strike/>
          <w:sz w:val="24"/>
          <w:szCs w:val="24"/>
        </w:rPr>
        <w:t>5.5.1  钢筋安装时，受力钢筋的牌号</w:t>
      </w:r>
      <w:r>
        <w:rPr>
          <w:rFonts w:ascii="宋体" w:hAnsi="宋体" w:eastAsia="宋体" w:cs="宋体"/>
          <w:strike/>
          <w:spacing w:val="-1"/>
          <w:sz w:val="24"/>
          <w:szCs w:val="24"/>
        </w:rPr>
        <w:t>、规格和数量必须符合设计要求。</w:t>
      </w:r>
    </w:p>
    <w:p w14:paraId="7E20B845">
      <w:pPr>
        <w:tabs>
          <w:tab w:val="left" w:pos="480"/>
        </w:tabs>
        <w:spacing w:before="153"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11"/>
          <w:sz w:val="24"/>
          <w:szCs w:val="24"/>
        </w:rPr>
        <w:t xml:space="preserve"> </w:t>
      </w:r>
      <w:r>
        <w:rPr>
          <w:rFonts w:ascii="宋体" w:hAnsi="宋体" w:eastAsia="宋体" w:cs="宋体"/>
          <w:strike/>
          <w:spacing w:val="-1"/>
          <w:sz w:val="24"/>
          <w:szCs w:val="24"/>
        </w:rPr>
        <w:t>检查数量：全数检查。</w:t>
      </w:r>
    </w:p>
    <w:p w14:paraId="5B5057AE">
      <w:pPr>
        <w:tabs>
          <w:tab w:val="left" w:pos="480"/>
        </w:tabs>
        <w:spacing w:before="155" w:line="219"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10"/>
          <w:sz w:val="24"/>
          <w:szCs w:val="24"/>
        </w:rPr>
        <w:t xml:space="preserve"> </w:t>
      </w:r>
      <w:r>
        <w:rPr>
          <w:rFonts w:ascii="宋体" w:hAnsi="宋体" w:eastAsia="宋体" w:cs="宋体"/>
          <w:strike/>
          <w:spacing w:val="-1"/>
          <w:sz w:val="24"/>
          <w:szCs w:val="24"/>
        </w:rPr>
        <w:t>检验方法：观察，尺量。</w:t>
      </w:r>
    </w:p>
    <w:p w14:paraId="2FDCADF3">
      <w:pPr>
        <w:spacing w:before="157" w:line="338" w:lineRule="auto"/>
        <w:ind w:left="8" w:right="239" w:firstLine="2"/>
        <w:rPr>
          <w:rFonts w:ascii="宋体" w:hAnsi="宋体" w:eastAsia="宋体" w:cs="宋体"/>
          <w:sz w:val="24"/>
          <w:szCs w:val="24"/>
        </w:rPr>
      </w:pPr>
      <w:r>
        <w:rPr>
          <w:rFonts w:ascii="宋体" w:hAnsi="宋体" w:eastAsia="宋体" w:cs="宋体"/>
          <w:strike/>
          <w:sz w:val="24"/>
          <w:szCs w:val="24"/>
        </w:rPr>
        <w:t>6.2.1  预应力筋进场时，应按国家现行标准的规定抽</w:t>
      </w:r>
      <w:r>
        <w:rPr>
          <w:rFonts w:ascii="宋体" w:hAnsi="宋体" w:eastAsia="宋体" w:cs="宋体"/>
          <w:strike/>
          <w:spacing w:val="-1"/>
          <w:sz w:val="24"/>
          <w:szCs w:val="24"/>
        </w:rPr>
        <w:t>取试件作抗拉强度、伸长率检</w:t>
      </w:r>
      <w:r>
        <w:rPr>
          <w:rFonts w:ascii="宋体" w:hAnsi="宋体" w:eastAsia="宋体" w:cs="宋体"/>
          <w:sz w:val="24"/>
          <w:szCs w:val="24"/>
        </w:rPr>
        <w:t xml:space="preserve"> </w:t>
      </w:r>
      <w:r>
        <w:rPr>
          <w:rFonts w:ascii="宋体" w:hAnsi="宋体" w:eastAsia="宋体" w:cs="宋体"/>
          <w:strike/>
          <w:spacing w:val="-1"/>
          <w:sz w:val="24"/>
          <w:szCs w:val="24"/>
        </w:rPr>
        <w:t>验，其检验结果应符合相应标准的规定。</w:t>
      </w:r>
    </w:p>
    <w:p w14:paraId="76719105">
      <w:pPr>
        <w:tabs>
          <w:tab w:val="left" w:pos="480"/>
        </w:tabs>
        <w:spacing w:before="1" w:line="219"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97"/>
          <w:sz w:val="24"/>
          <w:szCs w:val="24"/>
        </w:rPr>
        <w:t xml:space="preserve"> </w:t>
      </w:r>
      <w:r>
        <w:rPr>
          <w:rFonts w:ascii="宋体" w:hAnsi="宋体" w:eastAsia="宋体" w:cs="宋体"/>
          <w:strike/>
          <w:spacing w:val="-1"/>
          <w:sz w:val="24"/>
          <w:szCs w:val="24"/>
        </w:rPr>
        <w:t>检查数量：按进场的批次和产品的抽样检验方案确定。</w:t>
      </w:r>
    </w:p>
    <w:p w14:paraId="73BBEA25">
      <w:pPr>
        <w:spacing w:line="219" w:lineRule="auto"/>
        <w:rPr>
          <w:rFonts w:ascii="宋体" w:hAnsi="宋体" w:eastAsia="宋体" w:cs="宋体"/>
          <w:sz w:val="24"/>
          <w:szCs w:val="24"/>
        </w:rPr>
        <w:sectPr>
          <w:footerReference r:id="rId19" w:type="default"/>
          <w:pgSz w:w="11907" w:h="16839"/>
          <w:pgMar w:top="400" w:right="1489" w:bottom="740" w:left="1417" w:header="0" w:footer="582" w:gutter="0"/>
          <w:cols w:space="720" w:num="1"/>
        </w:sectPr>
      </w:pPr>
    </w:p>
    <w:p w14:paraId="1802631E">
      <w:pPr>
        <w:pStyle w:val="2"/>
        <w:spacing w:line="303" w:lineRule="auto"/>
      </w:pPr>
    </w:p>
    <w:p w14:paraId="5557CD75">
      <w:pPr>
        <w:pStyle w:val="2"/>
        <w:spacing w:line="303" w:lineRule="auto"/>
      </w:pPr>
    </w:p>
    <w:p w14:paraId="4FFB5C49">
      <w:pPr>
        <w:pStyle w:val="2"/>
        <w:spacing w:line="303" w:lineRule="auto"/>
      </w:pPr>
    </w:p>
    <w:p w14:paraId="1B8A30BF">
      <w:pPr>
        <w:tabs>
          <w:tab w:val="left" w:pos="480"/>
        </w:tabs>
        <w:spacing w:before="78" w:line="218"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00"/>
          <w:sz w:val="24"/>
          <w:szCs w:val="24"/>
        </w:rPr>
        <w:t xml:space="preserve"> </w:t>
      </w:r>
      <w:r>
        <w:rPr>
          <w:rFonts w:ascii="宋体" w:hAnsi="宋体" w:eastAsia="宋体" w:cs="宋体"/>
          <w:strike/>
          <w:spacing w:val="-1"/>
          <w:sz w:val="24"/>
          <w:szCs w:val="24"/>
        </w:rPr>
        <w:t>检验方法：检查质量证明文件和抽样检验报告。</w:t>
      </w:r>
    </w:p>
    <w:p w14:paraId="6820C1C5">
      <w:pPr>
        <w:spacing w:before="156" w:line="220" w:lineRule="auto"/>
        <w:ind w:left="11"/>
        <w:rPr>
          <w:rFonts w:ascii="宋体" w:hAnsi="宋体" w:eastAsia="宋体" w:cs="宋体"/>
          <w:sz w:val="24"/>
          <w:szCs w:val="24"/>
        </w:rPr>
      </w:pPr>
      <w:r>
        <w:rPr>
          <w:rFonts w:ascii="宋体" w:hAnsi="宋体" w:eastAsia="宋体" w:cs="宋体"/>
          <w:strike/>
          <w:sz w:val="24"/>
          <w:szCs w:val="24"/>
        </w:rPr>
        <w:t>6.3.1  预应力筋安装时，其品种、规格、级别</w:t>
      </w:r>
      <w:r>
        <w:rPr>
          <w:rFonts w:ascii="宋体" w:hAnsi="宋体" w:eastAsia="宋体" w:cs="宋体"/>
          <w:strike/>
          <w:spacing w:val="-1"/>
          <w:sz w:val="24"/>
          <w:szCs w:val="24"/>
        </w:rPr>
        <w:t>和数量必须符合设计要求。</w:t>
      </w:r>
    </w:p>
    <w:p w14:paraId="5D79B234">
      <w:pPr>
        <w:tabs>
          <w:tab w:val="left" w:pos="480"/>
        </w:tabs>
        <w:spacing w:before="153" w:line="220"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11"/>
          <w:sz w:val="24"/>
          <w:szCs w:val="24"/>
        </w:rPr>
        <w:t xml:space="preserve"> </w:t>
      </w:r>
      <w:r>
        <w:rPr>
          <w:rFonts w:ascii="宋体" w:hAnsi="宋体" w:eastAsia="宋体" w:cs="宋体"/>
          <w:strike/>
          <w:spacing w:val="-1"/>
          <w:sz w:val="24"/>
          <w:szCs w:val="24"/>
        </w:rPr>
        <w:t>检查数量：全数检查。</w:t>
      </w:r>
    </w:p>
    <w:p w14:paraId="58FFE880">
      <w:pPr>
        <w:tabs>
          <w:tab w:val="left" w:pos="480"/>
        </w:tabs>
        <w:spacing w:before="154" w:line="219" w:lineRule="auto"/>
        <w:rPr>
          <w:rFonts w:ascii="宋体" w:hAnsi="宋体" w:eastAsia="宋体" w:cs="宋体"/>
          <w:sz w:val="24"/>
          <w:szCs w:val="24"/>
        </w:rPr>
      </w:pPr>
      <w:r>
        <w:rPr>
          <w:rFonts w:ascii="宋体" w:hAnsi="宋体" w:eastAsia="宋体" w:cs="宋体"/>
          <w:strike/>
          <w:sz w:val="24"/>
          <w:szCs w:val="24"/>
        </w:rPr>
        <w:tab/>
      </w:r>
      <w:r>
        <w:rPr>
          <w:rFonts w:ascii="宋体" w:hAnsi="宋体" w:eastAsia="宋体" w:cs="宋体"/>
          <w:strike/>
          <w:spacing w:val="-110"/>
          <w:sz w:val="24"/>
          <w:szCs w:val="24"/>
        </w:rPr>
        <w:t xml:space="preserve"> </w:t>
      </w:r>
      <w:r>
        <w:rPr>
          <w:rFonts w:ascii="宋体" w:hAnsi="宋体" w:eastAsia="宋体" w:cs="宋体"/>
          <w:strike/>
          <w:spacing w:val="-1"/>
          <w:sz w:val="24"/>
          <w:szCs w:val="24"/>
        </w:rPr>
        <w:t>检验方法：观察，尺量。</w:t>
      </w:r>
    </w:p>
    <w:p w14:paraId="3F34ACC9">
      <w:pPr>
        <w:spacing w:before="202" w:line="226" w:lineRule="auto"/>
        <w:ind w:left="10"/>
        <w:outlineLvl w:val="1"/>
        <w:rPr>
          <w:rFonts w:ascii="宋体" w:hAnsi="宋体" w:eastAsia="宋体" w:cs="宋体"/>
          <w:sz w:val="27"/>
          <w:szCs w:val="27"/>
        </w:rPr>
      </w:pPr>
      <w:bookmarkStart w:id="21" w:name="bookmark70"/>
      <w:bookmarkEnd w:id="21"/>
      <w:r>
        <w:rPr>
          <w:rFonts w:ascii="Times New Roman" w:hAnsi="Times New Roman" w:eastAsia="Times New Roman" w:cs="Times New Roman"/>
          <w:b/>
          <w:bCs/>
          <w:spacing w:val="6"/>
          <w:sz w:val="27"/>
          <w:szCs w:val="27"/>
        </w:rPr>
        <w:t>6.</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50205-2020  </w:t>
      </w:r>
      <w:r>
        <w:rPr>
          <w:rFonts w:ascii="宋体" w:hAnsi="宋体" w:eastAsia="宋体" w:cs="宋体"/>
          <w:b/>
          <w:bCs/>
          <w:spacing w:val="6"/>
          <w:sz w:val="27"/>
          <w:szCs w:val="27"/>
        </w:rPr>
        <w:t>钢结构工程施工质量验收标准【强条已废】</w:t>
      </w:r>
    </w:p>
    <w:p w14:paraId="5C90A353">
      <w:pPr>
        <w:pStyle w:val="2"/>
        <w:spacing w:before="243" w:line="287" w:lineRule="auto"/>
        <w:ind w:left="36"/>
        <w:rPr>
          <w:rFonts w:ascii="宋体" w:hAnsi="宋体" w:eastAsia="宋体" w:cs="宋体"/>
          <w:sz w:val="24"/>
          <w:szCs w:val="24"/>
        </w:rPr>
      </w:pPr>
      <w:r>
        <w:rPr>
          <w:rFonts w:ascii="宋体" w:hAnsi="宋体" w:eastAsia="宋体" w:cs="宋体"/>
          <w:b/>
          <w:bCs/>
          <w:color w:val="EE0000"/>
          <w:sz w:val="24"/>
          <w:szCs w:val="24"/>
        </w:rPr>
        <w:t>以下条目已被</w:t>
      </w:r>
      <w:r>
        <w:rPr>
          <w:rFonts w:ascii="宋体" w:hAnsi="宋体" w:eastAsia="宋体" w:cs="宋体"/>
          <w:color w:val="EE0000"/>
          <w:sz w:val="24"/>
          <w:szCs w:val="24"/>
          <w:u w:val="single" w:color="auto"/>
        </w:rPr>
        <w:t>《钢结构通用规范》</w:t>
      </w:r>
      <w:r>
        <w:rPr>
          <w:color w:val="EE0000"/>
          <w:sz w:val="24"/>
          <w:szCs w:val="24"/>
          <w:u w:val="single" w:color="auto"/>
        </w:rPr>
        <w:t>GB55006-2021</w:t>
      </w:r>
      <w:r>
        <w:rPr>
          <w:rFonts w:ascii="宋体" w:hAnsi="宋体" w:eastAsia="宋体" w:cs="宋体"/>
          <w:b/>
          <w:bCs/>
          <w:color w:val="EE0000"/>
          <w:sz w:val="24"/>
          <w:szCs w:val="24"/>
        </w:rPr>
        <w:t>替代</w:t>
      </w:r>
    </w:p>
    <w:p w14:paraId="1C617F76">
      <w:pPr>
        <w:pStyle w:val="2"/>
        <w:spacing w:before="266" w:line="340" w:lineRule="auto"/>
        <w:ind w:left="8" w:hanging="5"/>
        <w:jc w:val="both"/>
        <w:rPr>
          <w:rFonts w:ascii="宋体" w:hAnsi="宋体" w:eastAsia="宋体" w:cs="宋体"/>
          <w:sz w:val="24"/>
          <w:szCs w:val="24"/>
        </w:rPr>
      </w:pPr>
      <w:r>
        <w:rPr>
          <w:strike/>
          <w:color w:val="202935"/>
          <w:sz w:val="24"/>
          <w:szCs w:val="24"/>
        </w:rPr>
        <w:t xml:space="preserve">4.2.1    </w:t>
      </w:r>
      <w:r>
        <w:rPr>
          <w:rFonts w:ascii="宋体" w:hAnsi="宋体" w:eastAsia="宋体" w:cs="宋体"/>
          <w:strike/>
          <w:color w:val="202935"/>
          <w:sz w:val="24"/>
          <w:szCs w:val="24"/>
        </w:rPr>
        <w:t>钢板的品种、规格、性能应符合国家现行标准的规定并满足设计要</w:t>
      </w:r>
      <w:r>
        <w:rPr>
          <w:rFonts w:ascii="宋体" w:hAnsi="宋体" w:eastAsia="宋体" w:cs="宋体"/>
          <w:strike/>
          <w:color w:val="202935"/>
          <w:spacing w:val="-1"/>
          <w:sz w:val="24"/>
          <w:szCs w:val="24"/>
        </w:rPr>
        <w:t>求。钢板进</w:t>
      </w:r>
      <w:r>
        <w:rPr>
          <w:rFonts w:ascii="宋体" w:hAnsi="宋体" w:eastAsia="宋体" w:cs="宋体"/>
          <w:color w:val="202935"/>
          <w:sz w:val="24"/>
          <w:szCs w:val="24"/>
        </w:rPr>
        <w:t xml:space="preserve"> </w:t>
      </w:r>
      <w:r>
        <w:rPr>
          <w:rFonts w:ascii="宋体" w:hAnsi="宋体" w:eastAsia="宋体" w:cs="宋体"/>
          <w:strike/>
          <w:color w:val="202935"/>
          <w:sz w:val="24"/>
          <w:szCs w:val="24"/>
        </w:rPr>
        <w:t>场时，应按国家现行标准的规定抽取试件且应进行屈服强度、</w:t>
      </w:r>
      <w:r>
        <w:rPr>
          <w:rFonts w:ascii="宋体" w:hAnsi="宋体" w:eastAsia="宋体" w:cs="宋体"/>
          <w:strike/>
          <w:color w:val="202935"/>
          <w:spacing w:val="-1"/>
          <w:sz w:val="24"/>
          <w:szCs w:val="24"/>
        </w:rPr>
        <w:t>抗拉强度、伸长率和厚</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度偏差检验，检验结果应符合国家现行标准的规定。</w:t>
      </w:r>
    </w:p>
    <w:p w14:paraId="27D3BA54">
      <w:pPr>
        <w:spacing w:before="149" w:line="339" w:lineRule="auto"/>
        <w:ind w:left="9" w:right="80" w:firstLine="480"/>
        <w:rPr>
          <w:rFonts w:ascii="宋体" w:hAnsi="宋体" w:eastAsia="宋体" w:cs="宋体"/>
          <w:sz w:val="24"/>
          <w:szCs w:val="24"/>
        </w:rPr>
      </w:pPr>
      <w:r>
        <w:rPr>
          <w:rFonts w:ascii="宋体" w:hAnsi="宋体" w:eastAsia="宋体" w:cs="宋体"/>
          <w:strike/>
          <w:sz w:val="24"/>
          <w:szCs w:val="24"/>
        </w:rPr>
        <w:t>检查数量：质量证明文件全数检查；抽样数量按进场批</w:t>
      </w:r>
      <w:r>
        <w:rPr>
          <w:rFonts w:ascii="宋体" w:hAnsi="宋体" w:eastAsia="宋体" w:cs="宋体"/>
          <w:strike/>
          <w:spacing w:val="-1"/>
          <w:sz w:val="24"/>
          <w:szCs w:val="24"/>
        </w:rPr>
        <w:t>次和产品的抽样检验方案</w:t>
      </w:r>
      <w:r>
        <w:rPr>
          <w:rFonts w:ascii="宋体" w:hAnsi="宋体" w:eastAsia="宋体" w:cs="宋体"/>
          <w:sz w:val="24"/>
          <w:szCs w:val="24"/>
        </w:rPr>
        <w:t xml:space="preserve"> </w:t>
      </w:r>
      <w:r>
        <w:rPr>
          <w:rFonts w:ascii="宋体" w:hAnsi="宋体" w:eastAsia="宋体" w:cs="宋体"/>
          <w:strike/>
          <w:spacing w:val="-3"/>
          <w:sz w:val="24"/>
          <w:szCs w:val="24"/>
        </w:rPr>
        <w:t>确定。</w:t>
      </w:r>
    </w:p>
    <w:p w14:paraId="23BD73BA">
      <w:pPr>
        <w:spacing w:line="218" w:lineRule="auto"/>
        <w:ind w:left="489"/>
        <w:rPr>
          <w:rFonts w:ascii="宋体" w:hAnsi="宋体" w:eastAsia="宋体" w:cs="宋体"/>
          <w:sz w:val="24"/>
          <w:szCs w:val="24"/>
        </w:rPr>
      </w:pPr>
      <w:r>
        <w:rPr>
          <w:rFonts w:ascii="宋体" w:hAnsi="宋体" w:eastAsia="宋体" w:cs="宋体"/>
          <w:strike/>
          <w:spacing w:val="-1"/>
          <w:sz w:val="24"/>
          <w:szCs w:val="24"/>
        </w:rPr>
        <w:t>检验方法：检查质量证明文件和抽样检验报告。</w:t>
      </w:r>
    </w:p>
    <w:p w14:paraId="497280FC">
      <w:pPr>
        <w:pStyle w:val="2"/>
        <w:spacing w:before="112" w:line="334" w:lineRule="auto"/>
        <w:ind w:left="16" w:hanging="13"/>
        <w:rPr>
          <w:rFonts w:ascii="宋体" w:hAnsi="宋体" w:eastAsia="宋体" w:cs="宋体"/>
          <w:sz w:val="24"/>
          <w:szCs w:val="24"/>
        </w:rPr>
      </w:pPr>
      <w:r>
        <w:rPr>
          <w:strike/>
          <w:color w:val="202935"/>
          <w:sz w:val="24"/>
          <w:szCs w:val="24"/>
        </w:rPr>
        <w:t xml:space="preserve">4.3.1    </w:t>
      </w:r>
      <w:r>
        <w:rPr>
          <w:rFonts w:ascii="宋体" w:hAnsi="宋体" w:eastAsia="宋体" w:cs="宋体"/>
          <w:strike/>
          <w:color w:val="202935"/>
          <w:sz w:val="24"/>
          <w:szCs w:val="24"/>
        </w:rPr>
        <w:t>型材和管材的品种、规格、性能应符合国家现行标准的规定并满足</w:t>
      </w:r>
      <w:r>
        <w:rPr>
          <w:rFonts w:ascii="宋体" w:hAnsi="宋体" w:eastAsia="宋体" w:cs="宋体"/>
          <w:strike/>
          <w:color w:val="202935"/>
          <w:spacing w:val="-1"/>
          <w:sz w:val="24"/>
          <w:szCs w:val="24"/>
        </w:rPr>
        <w:t>设计要求。</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型材和管材</w:t>
      </w:r>
      <w:r>
        <w:rPr>
          <w:rFonts w:ascii="宋体" w:hAnsi="宋体" w:eastAsia="宋体" w:cs="宋体"/>
          <w:strike/>
          <w:spacing w:val="-1"/>
          <w:sz w:val="24"/>
          <w:szCs w:val="24"/>
        </w:rPr>
        <w:t>进场</w:t>
      </w:r>
      <w:r>
        <w:rPr>
          <w:rFonts w:ascii="宋体" w:hAnsi="宋体" w:eastAsia="宋体" w:cs="宋体"/>
          <w:strike/>
          <w:color w:val="202935"/>
          <w:spacing w:val="-1"/>
          <w:sz w:val="24"/>
          <w:szCs w:val="24"/>
        </w:rPr>
        <w:t>时，应按国家现行标准的规定抽取试件且应进行屈服强度、抗拉强</w:t>
      </w:r>
    </w:p>
    <w:p w14:paraId="56276051">
      <w:pPr>
        <w:spacing w:before="56" w:line="220" w:lineRule="auto"/>
        <w:ind w:left="8"/>
        <w:rPr>
          <w:rFonts w:ascii="宋体" w:hAnsi="宋体" w:eastAsia="宋体" w:cs="宋体"/>
          <w:sz w:val="24"/>
          <w:szCs w:val="24"/>
        </w:rPr>
      </w:pPr>
      <w:r>
        <w:rPr>
          <w:rFonts w:ascii="宋体" w:hAnsi="宋体" w:eastAsia="宋体" w:cs="宋体"/>
          <w:strike/>
          <w:color w:val="202935"/>
          <w:sz w:val="24"/>
          <w:szCs w:val="24"/>
        </w:rPr>
        <w:t>度、伸长率和厚度偏差检验，检验结果应符合</w:t>
      </w:r>
      <w:r>
        <w:rPr>
          <w:rFonts w:ascii="宋体" w:hAnsi="宋体" w:eastAsia="宋体" w:cs="宋体"/>
          <w:strike/>
          <w:color w:val="202935"/>
          <w:spacing w:val="-1"/>
          <w:sz w:val="24"/>
          <w:szCs w:val="24"/>
        </w:rPr>
        <w:t>国家现行标准的规定。</w:t>
      </w:r>
    </w:p>
    <w:p w14:paraId="02F83874">
      <w:pPr>
        <w:spacing w:before="309" w:line="339" w:lineRule="auto"/>
        <w:ind w:left="9" w:right="80" w:firstLine="480"/>
        <w:rPr>
          <w:rFonts w:ascii="宋体" w:hAnsi="宋体" w:eastAsia="宋体" w:cs="宋体"/>
          <w:sz w:val="24"/>
          <w:szCs w:val="24"/>
        </w:rPr>
      </w:pPr>
      <w:r>
        <w:rPr>
          <w:rFonts w:ascii="宋体" w:hAnsi="宋体" w:eastAsia="宋体" w:cs="宋体"/>
          <w:strike/>
          <w:sz w:val="24"/>
          <w:szCs w:val="24"/>
        </w:rPr>
        <w:t>检查数量：质量证明文件全数检查；抽样数量按进场批</w:t>
      </w:r>
      <w:r>
        <w:rPr>
          <w:rFonts w:ascii="宋体" w:hAnsi="宋体" w:eastAsia="宋体" w:cs="宋体"/>
          <w:strike/>
          <w:spacing w:val="-1"/>
          <w:sz w:val="24"/>
          <w:szCs w:val="24"/>
        </w:rPr>
        <w:t>次和产品的抽样检验方案</w:t>
      </w:r>
      <w:r>
        <w:rPr>
          <w:rFonts w:ascii="宋体" w:hAnsi="宋体" w:eastAsia="宋体" w:cs="宋体"/>
          <w:sz w:val="24"/>
          <w:szCs w:val="24"/>
        </w:rPr>
        <w:t xml:space="preserve"> </w:t>
      </w:r>
      <w:r>
        <w:rPr>
          <w:rFonts w:ascii="宋体" w:hAnsi="宋体" w:eastAsia="宋体" w:cs="宋体"/>
          <w:strike/>
          <w:spacing w:val="-3"/>
          <w:sz w:val="24"/>
          <w:szCs w:val="24"/>
        </w:rPr>
        <w:t>确定。</w:t>
      </w:r>
    </w:p>
    <w:p w14:paraId="133B609D">
      <w:pPr>
        <w:spacing w:line="218" w:lineRule="auto"/>
        <w:ind w:left="489"/>
        <w:rPr>
          <w:rFonts w:ascii="宋体" w:hAnsi="宋体" w:eastAsia="宋体" w:cs="宋体"/>
          <w:sz w:val="24"/>
          <w:szCs w:val="24"/>
        </w:rPr>
      </w:pPr>
      <w:r>
        <w:rPr>
          <w:rFonts w:ascii="宋体" w:hAnsi="宋体" w:eastAsia="宋体" w:cs="宋体"/>
          <w:strike/>
          <w:spacing w:val="-1"/>
          <w:sz w:val="24"/>
          <w:szCs w:val="24"/>
        </w:rPr>
        <w:t>检验方法：检查质量证明文件和抽样检验报告。</w:t>
      </w:r>
    </w:p>
    <w:p w14:paraId="7BFE59B6">
      <w:pPr>
        <w:pStyle w:val="2"/>
        <w:spacing w:before="155" w:line="340" w:lineRule="auto"/>
        <w:ind w:left="8" w:hanging="5"/>
        <w:jc w:val="both"/>
        <w:rPr>
          <w:rFonts w:ascii="宋体" w:hAnsi="宋体" w:eastAsia="宋体" w:cs="宋体"/>
          <w:sz w:val="24"/>
          <w:szCs w:val="24"/>
        </w:rPr>
      </w:pPr>
      <w:r>
        <w:rPr>
          <w:strike/>
          <w:color w:val="202935"/>
          <w:sz w:val="24"/>
          <w:szCs w:val="24"/>
        </w:rPr>
        <w:t xml:space="preserve">4.4.1    </w:t>
      </w:r>
      <w:r>
        <w:rPr>
          <w:rFonts w:ascii="宋体" w:hAnsi="宋体" w:eastAsia="宋体" w:cs="宋体"/>
          <w:strike/>
          <w:color w:val="202935"/>
          <w:sz w:val="24"/>
          <w:szCs w:val="24"/>
        </w:rPr>
        <w:t>铸钢件的品种、规格、性能应符合国家现行标准的规定并满足设计</w:t>
      </w:r>
      <w:r>
        <w:rPr>
          <w:rFonts w:ascii="宋体" w:hAnsi="宋体" w:eastAsia="宋体" w:cs="宋体"/>
          <w:strike/>
          <w:color w:val="202935"/>
          <w:spacing w:val="-1"/>
          <w:sz w:val="24"/>
          <w:szCs w:val="24"/>
        </w:rPr>
        <w:t>要求。铸钢</w:t>
      </w:r>
      <w:r>
        <w:rPr>
          <w:rFonts w:ascii="宋体" w:hAnsi="宋体" w:eastAsia="宋体" w:cs="宋体"/>
          <w:color w:val="202935"/>
          <w:sz w:val="24"/>
          <w:szCs w:val="24"/>
        </w:rPr>
        <w:t xml:space="preserve"> </w:t>
      </w:r>
      <w:r>
        <w:rPr>
          <w:rFonts w:ascii="宋体" w:hAnsi="宋体" w:eastAsia="宋体" w:cs="宋体"/>
          <w:strike/>
          <w:color w:val="202935"/>
          <w:sz w:val="24"/>
          <w:szCs w:val="24"/>
        </w:rPr>
        <w:t>件进场时，应按国家现行标准的规定抽取试件且应进行屈服强</w:t>
      </w:r>
      <w:r>
        <w:rPr>
          <w:rFonts w:ascii="宋体" w:hAnsi="宋体" w:eastAsia="宋体" w:cs="宋体"/>
          <w:strike/>
          <w:color w:val="202935"/>
          <w:spacing w:val="-1"/>
          <w:sz w:val="24"/>
          <w:szCs w:val="24"/>
        </w:rPr>
        <w:t>度、抗拉强度、伸长率</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和端口尺寸偏差检验，检验结果应符合国家现行标准的规定。</w:t>
      </w:r>
    </w:p>
    <w:p w14:paraId="5DE9CC75">
      <w:pPr>
        <w:spacing w:before="153" w:line="338" w:lineRule="auto"/>
        <w:ind w:left="9" w:right="80" w:firstLine="480"/>
        <w:rPr>
          <w:rFonts w:ascii="宋体" w:hAnsi="宋体" w:eastAsia="宋体" w:cs="宋体"/>
          <w:sz w:val="24"/>
          <w:szCs w:val="24"/>
        </w:rPr>
      </w:pPr>
      <w:r>
        <w:rPr>
          <w:rFonts w:ascii="宋体" w:hAnsi="宋体" w:eastAsia="宋体" w:cs="宋体"/>
          <w:strike/>
          <w:sz w:val="24"/>
          <w:szCs w:val="24"/>
        </w:rPr>
        <w:t>检查数量：质量证明文件全数检查；抽样数量按进场批</w:t>
      </w:r>
      <w:r>
        <w:rPr>
          <w:rFonts w:ascii="宋体" w:hAnsi="宋体" w:eastAsia="宋体" w:cs="宋体"/>
          <w:strike/>
          <w:spacing w:val="-1"/>
          <w:sz w:val="24"/>
          <w:szCs w:val="24"/>
        </w:rPr>
        <w:t>次和产品的抽样检验方案</w:t>
      </w:r>
      <w:r>
        <w:rPr>
          <w:rFonts w:ascii="宋体" w:hAnsi="宋体" w:eastAsia="宋体" w:cs="宋体"/>
          <w:sz w:val="24"/>
          <w:szCs w:val="24"/>
        </w:rPr>
        <w:t xml:space="preserve"> </w:t>
      </w:r>
      <w:r>
        <w:rPr>
          <w:rFonts w:ascii="宋体" w:hAnsi="宋体" w:eastAsia="宋体" w:cs="宋体"/>
          <w:strike/>
          <w:spacing w:val="-3"/>
          <w:sz w:val="24"/>
          <w:szCs w:val="24"/>
        </w:rPr>
        <w:t>确定。</w:t>
      </w:r>
    </w:p>
    <w:p w14:paraId="659B94FE">
      <w:pPr>
        <w:spacing w:line="218" w:lineRule="auto"/>
        <w:ind w:left="489"/>
        <w:rPr>
          <w:rFonts w:ascii="宋体" w:hAnsi="宋体" w:eastAsia="宋体" w:cs="宋体"/>
          <w:sz w:val="24"/>
          <w:szCs w:val="24"/>
        </w:rPr>
      </w:pPr>
      <w:r>
        <w:rPr>
          <w:rFonts w:ascii="宋体" w:hAnsi="宋体" w:eastAsia="宋体" w:cs="宋体"/>
          <w:strike/>
          <w:spacing w:val="-1"/>
          <w:sz w:val="24"/>
          <w:szCs w:val="24"/>
        </w:rPr>
        <w:t>检验方法：检查质量证明文件和抽样检验报告。</w:t>
      </w:r>
    </w:p>
    <w:p w14:paraId="00E55C92">
      <w:pPr>
        <w:pStyle w:val="2"/>
        <w:spacing w:before="112" w:line="345" w:lineRule="auto"/>
        <w:ind w:left="8" w:hanging="5"/>
        <w:jc w:val="both"/>
        <w:rPr>
          <w:rFonts w:ascii="宋体" w:hAnsi="宋体" w:eastAsia="宋体" w:cs="宋体"/>
          <w:sz w:val="24"/>
          <w:szCs w:val="24"/>
        </w:rPr>
      </w:pPr>
      <w:r>
        <w:rPr>
          <w:strike/>
          <w:color w:val="202935"/>
          <w:sz w:val="24"/>
          <w:szCs w:val="24"/>
        </w:rPr>
        <w:t xml:space="preserve">4.5.1    </w:t>
      </w:r>
      <w:r>
        <w:rPr>
          <w:rFonts w:ascii="宋体" w:hAnsi="宋体" w:eastAsia="宋体" w:cs="宋体"/>
          <w:strike/>
          <w:color w:val="202935"/>
          <w:sz w:val="24"/>
          <w:szCs w:val="24"/>
        </w:rPr>
        <w:t>拉索、拉杆、锚具的品种、规格、性能应符合国家现行标准的规定</w:t>
      </w:r>
      <w:r>
        <w:rPr>
          <w:rFonts w:ascii="宋体" w:hAnsi="宋体" w:eastAsia="宋体" w:cs="宋体"/>
          <w:strike/>
          <w:color w:val="202935"/>
          <w:spacing w:val="-1"/>
          <w:sz w:val="24"/>
          <w:szCs w:val="24"/>
        </w:rPr>
        <w:t>并满足设计</w:t>
      </w:r>
      <w:r>
        <w:rPr>
          <w:rFonts w:ascii="宋体" w:hAnsi="宋体" w:eastAsia="宋体" w:cs="宋体"/>
          <w:color w:val="202935"/>
          <w:sz w:val="24"/>
          <w:szCs w:val="24"/>
        </w:rPr>
        <w:t xml:space="preserve"> </w:t>
      </w:r>
      <w:r>
        <w:rPr>
          <w:rFonts w:ascii="宋体" w:hAnsi="宋体" w:eastAsia="宋体" w:cs="宋体"/>
          <w:strike/>
          <w:color w:val="202935"/>
          <w:sz w:val="24"/>
          <w:szCs w:val="24"/>
        </w:rPr>
        <w:t>要求。拉索、拉杆、锚具进场时，应按国家现行标准的规定抽</w:t>
      </w:r>
      <w:r>
        <w:rPr>
          <w:rFonts w:ascii="宋体" w:hAnsi="宋体" w:eastAsia="宋体" w:cs="宋体"/>
          <w:strike/>
          <w:color w:val="202935"/>
          <w:spacing w:val="-1"/>
          <w:sz w:val="24"/>
          <w:szCs w:val="24"/>
        </w:rPr>
        <w:t>取试件且应进行屈服强</w:t>
      </w:r>
      <w:r>
        <w:rPr>
          <w:rFonts w:ascii="宋体" w:hAnsi="宋体" w:eastAsia="宋体" w:cs="宋体"/>
          <w:color w:val="202935"/>
          <w:sz w:val="24"/>
          <w:szCs w:val="24"/>
        </w:rPr>
        <w:t xml:space="preserve"> </w:t>
      </w:r>
      <w:r>
        <w:rPr>
          <w:rFonts w:ascii="宋体" w:hAnsi="宋体" w:eastAsia="宋体" w:cs="宋体"/>
          <w:strike/>
          <w:color w:val="202935"/>
          <w:sz w:val="24"/>
          <w:szCs w:val="24"/>
        </w:rPr>
        <w:t>度、抗拉强度、伸长率和尺寸偏差检验，检验结果应符合</w:t>
      </w:r>
      <w:r>
        <w:rPr>
          <w:rFonts w:ascii="宋体" w:hAnsi="宋体" w:eastAsia="宋体" w:cs="宋体"/>
          <w:strike/>
          <w:color w:val="202935"/>
          <w:spacing w:val="-1"/>
          <w:sz w:val="24"/>
          <w:szCs w:val="24"/>
        </w:rPr>
        <w:t>国家现行标准的规定。</w:t>
      </w:r>
    </w:p>
    <w:p w14:paraId="00535873">
      <w:pPr>
        <w:spacing w:before="176" w:line="338" w:lineRule="auto"/>
        <w:ind w:left="9" w:right="80" w:firstLine="480"/>
        <w:rPr>
          <w:rFonts w:ascii="宋体" w:hAnsi="宋体" w:eastAsia="宋体" w:cs="宋体"/>
          <w:sz w:val="24"/>
          <w:szCs w:val="24"/>
        </w:rPr>
      </w:pPr>
      <w:r>
        <w:rPr>
          <w:rFonts w:ascii="宋体" w:hAnsi="宋体" w:eastAsia="宋体" w:cs="宋体"/>
          <w:strike/>
          <w:sz w:val="24"/>
          <w:szCs w:val="24"/>
        </w:rPr>
        <w:t>检查数量：质量证明文件全数检查；抽样数量按进场批</w:t>
      </w:r>
      <w:r>
        <w:rPr>
          <w:rFonts w:ascii="宋体" w:hAnsi="宋体" w:eastAsia="宋体" w:cs="宋体"/>
          <w:strike/>
          <w:spacing w:val="-1"/>
          <w:sz w:val="24"/>
          <w:szCs w:val="24"/>
        </w:rPr>
        <w:t>次和产品的抽样检验方案</w:t>
      </w:r>
      <w:r>
        <w:rPr>
          <w:rFonts w:ascii="宋体" w:hAnsi="宋体" w:eastAsia="宋体" w:cs="宋体"/>
          <w:sz w:val="24"/>
          <w:szCs w:val="24"/>
        </w:rPr>
        <w:t xml:space="preserve"> </w:t>
      </w:r>
      <w:r>
        <w:rPr>
          <w:rFonts w:ascii="宋体" w:hAnsi="宋体" w:eastAsia="宋体" w:cs="宋体"/>
          <w:strike/>
          <w:spacing w:val="-3"/>
          <w:sz w:val="24"/>
          <w:szCs w:val="24"/>
        </w:rPr>
        <w:t>确定。</w:t>
      </w:r>
    </w:p>
    <w:p w14:paraId="63C19ADD">
      <w:pPr>
        <w:spacing w:line="218" w:lineRule="auto"/>
        <w:ind w:left="489"/>
        <w:rPr>
          <w:rFonts w:ascii="宋体" w:hAnsi="宋体" w:eastAsia="宋体" w:cs="宋体"/>
          <w:sz w:val="24"/>
          <w:szCs w:val="24"/>
        </w:rPr>
      </w:pPr>
      <w:r>
        <w:rPr>
          <w:rFonts w:ascii="宋体" w:hAnsi="宋体" w:eastAsia="宋体" w:cs="宋体"/>
          <w:strike/>
          <w:spacing w:val="-1"/>
          <w:sz w:val="24"/>
          <w:szCs w:val="24"/>
        </w:rPr>
        <w:t>检验方法：检查质量证明文件和抽样检验报告。</w:t>
      </w:r>
    </w:p>
    <w:p w14:paraId="28B4BCDE">
      <w:pPr>
        <w:spacing w:line="218" w:lineRule="auto"/>
        <w:rPr>
          <w:rFonts w:ascii="宋体" w:hAnsi="宋体" w:eastAsia="宋体" w:cs="宋体"/>
          <w:sz w:val="24"/>
          <w:szCs w:val="24"/>
        </w:rPr>
        <w:sectPr>
          <w:footerReference r:id="rId20" w:type="default"/>
          <w:pgSz w:w="11907" w:h="16839"/>
          <w:pgMar w:top="400" w:right="1528" w:bottom="743" w:left="1417" w:header="0" w:footer="582" w:gutter="0"/>
          <w:cols w:space="720" w:num="1"/>
        </w:sectPr>
      </w:pPr>
    </w:p>
    <w:p w14:paraId="4660C17F">
      <w:pPr>
        <w:pStyle w:val="2"/>
        <w:spacing w:line="291" w:lineRule="auto"/>
      </w:pPr>
    </w:p>
    <w:p w14:paraId="43D79F30">
      <w:pPr>
        <w:pStyle w:val="2"/>
        <w:spacing w:line="291" w:lineRule="auto"/>
      </w:pPr>
    </w:p>
    <w:p w14:paraId="38EAD50F">
      <w:pPr>
        <w:pStyle w:val="2"/>
        <w:spacing w:line="291" w:lineRule="auto"/>
      </w:pPr>
    </w:p>
    <w:p w14:paraId="55FC06AF">
      <w:pPr>
        <w:spacing w:before="81" w:line="325" w:lineRule="auto"/>
        <w:ind w:right="100"/>
        <w:rPr>
          <w:rFonts w:ascii="宋体" w:hAnsi="宋体" w:eastAsia="宋体" w:cs="宋体"/>
          <w:sz w:val="25"/>
          <w:szCs w:val="25"/>
        </w:rPr>
      </w:pPr>
      <w:r>
        <w:rPr>
          <w:rFonts w:ascii="宋体" w:hAnsi="宋体" w:eastAsia="宋体" w:cs="宋体"/>
          <w:spacing w:val="-10"/>
          <w:sz w:val="25"/>
          <w:szCs w:val="25"/>
        </w:rPr>
        <w:t>4.6.1  焊接材料的品种、规格、性能应符合国家现行标准的规定并满足设计要求。焊</w:t>
      </w:r>
      <w:r>
        <w:rPr>
          <w:rFonts w:ascii="宋体" w:hAnsi="宋体" w:eastAsia="宋体" w:cs="宋体"/>
          <w:spacing w:val="14"/>
          <w:sz w:val="25"/>
          <w:szCs w:val="25"/>
        </w:rPr>
        <w:t xml:space="preserve"> </w:t>
      </w:r>
      <w:r>
        <w:rPr>
          <w:rFonts w:ascii="宋体" w:hAnsi="宋体" w:eastAsia="宋体" w:cs="宋体"/>
          <w:spacing w:val="-10"/>
          <w:sz w:val="25"/>
          <w:szCs w:val="25"/>
        </w:rPr>
        <w:t>接</w:t>
      </w:r>
      <w:r>
        <w:rPr>
          <w:rFonts w:ascii="宋体" w:hAnsi="宋体" w:eastAsia="宋体" w:cs="宋体"/>
          <w:spacing w:val="-10"/>
          <w:sz w:val="25"/>
          <w:szCs w:val="25"/>
          <w:u w:val="single" w:color="auto"/>
        </w:rPr>
        <w:t>材料进场时，应按国家现行标准的规定抽取试件且应进行化学成分和力学性</w:t>
      </w:r>
      <w:r>
        <w:rPr>
          <w:rFonts w:ascii="宋体" w:hAnsi="宋体" w:eastAsia="宋体" w:cs="宋体"/>
          <w:spacing w:val="-10"/>
          <w:sz w:val="25"/>
          <w:szCs w:val="25"/>
        </w:rPr>
        <w:t>能检</w:t>
      </w:r>
    </w:p>
    <w:p w14:paraId="12767E80">
      <w:pPr>
        <w:spacing w:line="219" w:lineRule="auto"/>
        <w:rPr>
          <w:rFonts w:ascii="宋体" w:hAnsi="宋体" w:eastAsia="宋体" w:cs="宋体"/>
          <w:sz w:val="25"/>
          <w:szCs w:val="25"/>
        </w:rPr>
      </w:pPr>
      <w:r>
        <w:rPr>
          <w:rFonts w:ascii="宋体" w:hAnsi="宋体" w:eastAsia="宋体" w:cs="宋体"/>
          <w:spacing w:val="-4"/>
          <w:sz w:val="25"/>
          <w:szCs w:val="25"/>
        </w:rPr>
        <w:t>验，检验结果应符合国家现行标准的规定。</w:t>
      </w:r>
    </w:p>
    <w:p w14:paraId="682A35DF">
      <w:pPr>
        <w:pStyle w:val="2"/>
        <w:spacing w:line="242" w:lineRule="auto"/>
      </w:pPr>
    </w:p>
    <w:p w14:paraId="30D9EA9B">
      <w:pPr>
        <w:spacing w:before="78" w:line="300" w:lineRule="auto"/>
        <w:ind w:right="178" w:firstLine="479"/>
        <w:rPr>
          <w:rFonts w:ascii="宋体" w:hAnsi="宋体" w:eastAsia="宋体" w:cs="宋体"/>
          <w:sz w:val="28"/>
          <w:szCs w:val="28"/>
        </w:rPr>
      </w:pPr>
      <w:r>
        <w:rPr>
          <w:rFonts w:ascii="宋体" w:hAnsi="宋体" w:eastAsia="宋体" w:cs="宋体"/>
          <w:spacing w:val="1"/>
          <w:sz w:val="24"/>
          <w:szCs w:val="24"/>
        </w:rPr>
        <w:t>检查数</w:t>
      </w:r>
      <w:r>
        <w:rPr>
          <w:rFonts w:ascii="宋体" w:hAnsi="宋体" w:eastAsia="宋体" w:cs="宋体"/>
          <w:spacing w:val="1"/>
          <w:sz w:val="24"/>
          <w:szCs w:val="24"/>
          <w:u w:val="single" w:color="auto"/>
        </w:rPr>
        <w:t>量：质量证明文件全数检查；抽样数</w:t>
      </w:r>
      <w:r>
        <w:rPr>
          <w:rFonts w:ascii="宋体" w:hAnsi="宋体" w:eastAsia="宋体" w:cs="宋体"/>
          <w:spacing w:val="1"/>
          <w:sz w:val="24"/>
          <w:szCs w:val="24"/>
        </w:rPr>
        <w:t>量按</w:t>
      </w:r>
      <w:r>
        <w:rPr>
          <w:rFonts w:ascii="宋体" w:hAnsi="宋体" w:eastAsia="宋体" w:cs="宋体"/>
          <w:sz w:val="24"/>
          <w:szCs w:val="24"/>
        </w:rPr>
        <w:t xml:space="preserve">进场批次和产品的抽样检验方案 </w:t>
      </w:r>
      <w:r>
        <w:rPr>
          <w:rFonts w:ascii="宋体" w:hAnsi="宋体" w:eastAsia="宋体" w:cs="宋体"/>
          <w:spacing w:val="9"/>
          <w:sz w:val="28"/>
          <w:szCs w:val="28"/>
        </w:rPr>
        <w:t>确定。</w:t>
      </w:r>
    </w:p>
    <w:p w14:paraId="6F3E17AB">
      <w:pPr>
        <w:spacing w:before="34" w:line="218" w:lineRule="auto"/>
        <w:ind w:left="479"/>
        <w:rPr>
          <w:rFonts w:ascii="宋体" w:hAnsi="宋体" w:eastAsia="宋体" w:cs="宋体"/>
          <w:sz w:val="24"/>
          <w:szCs w:val="24"/>
        </w:rPr>
      </w:pPr>
      <w:r>
        <w:rPr>
          <w:rFonts w:ascii="宋体" w:hAnsi="宋体" w:eastAsia="宋体" w:cs="宋体"/>
          <w:spacing w:val="6"/>
          <w:sz w:val="24"/>
          <w:szCs w:val="24"/>
        </w:rPr>
        <w:t>检验方法：检查质量证明文件和抽样检验报告。</w:t>
      </w:r>
    </w:p>
    <w:p w14:paraId="309D26F7">
      <w:pPr>
        <w:spacing w:before="178" w:line="306" w:lineRule="auto"/>
        <w:rPr>
          <w:rFonts w:ascii="宋体" w:hAnsi="宋体" w:eastAsia="宋体" w:cs="宋体"/>
          <w:sz w:val="26"/>
          <w:szCs w:val="26"/>
        </w:rPr>
      </w:pPr>
      <w:r>
        <w:rPr>
          <w:rFonts w:ascii="宋体" w:hAnsi="宋体" w:eastAsia="宋体" w:cs="宋体"/>
          <w:color w:val="203050"/>
          <w:spacing w:val="-14"/>
          <w:sz w:val="26"/>
          <w:szCs w:val="26"/>
          <w:u w:val="single" w:color="auto"/>
        </w:rPr>
        <w:t>4.7.1钢结构连接用高强度螺栓连接副的品种、规格、性能应符合国家现行标准的</w:t>
      </w:r>
      <w:r>
        <w:rPr>
          <w:rFonts w:ascii="宋体" w:hAnsi="宋体" w:eastAsia="宋体" w:cs="宋体"/>
          <w:spacing w:val="-14"/>
          <w:sz w:val="26"/>
          <w:szCs w:val="26"/>
        </w:rPr>
        <w:t>规</w:t>
      </w:r>
      <w:r>
        <w:rPr>
          <w:rFonts w:ascii="宋体" w:hAnsi="宋体" w:eastAsia="宋体" w:cs="宋体"/>
          <w:spacing w:val="6"/>
          <w:sz w:val="26"/>
          <w:szCs w:val="26"/>
        </w:rPr>
        <w:t xml:space="preserve">  </w:t>
      </w:r>
      <w:r>
        <w:rPr>
          <w:rFonts w:ascii="宋体" w:hAnsi="宋体" w:eastAsia="宋体" w:cs="宋体"/>
          <w:spacing w:val="-19"/>
          <w:sz w:val="26"/>
          <w:szCs w:val="26"/>
        </w:rPr>
        <w:t>定并满足设计要求。高强度大六角头螺栓连接</w:t>
      </w:r>
      <w:r>
        <w:rPr>
          <w:rFonts w:ascii="宋体" w:hAnsi="宋体" w:eastAsia="宋体" w:cs="宋体"/>
          <w:spacing w:val="-20"/>
          <w:sz w:val="26"/>
          <w:szCs w:val="26"/>
        </w:rPr>
        <w:t>副应随箱带有扭矩系数检验报告，扭剪</w:t>
      </w:r>
      <w:r>
        <w:rPr>
          <w:rFonts w:ascii="宋体" w:hAnsi="宋体" w:eastAsia="宋体" w:cs="宋体"/>
          <w:sz w:val="26"/>
          <w:szCs w:val="26"/>
        </w:rPr>
        <w:t xml:space="preserve">  </w:t>
      </w:r>
      <w:r>
        <w:rPr>
          <w:rFonts w:ascii="宋体" w:hAnsi="宋体" w:eastAsia="宋体" w:cs="宋体"/>
          <w:spacing w:val="-22"/>
          <w:sz w:val="26"/>
          <w:szCs w:val="26"/>
        </w:rPr>
        <w:t>型</w:t>
      </w:r>
      <w:r>
        <w:rPr>
          <w:rFonts w:ascii="宋体" w:hAnsi="宋体" w:eastAsia="宋体" w:cs="宋体"/>
          <w:spacing w:val="-22"/>
          <w:sz w:val="26"/>
          <w:szCs w:val="26"/>
          <w:u w:val="single" w:color="auto"/>
        </w:rPr>
        <w:t>高强度螺栓连接副应</w:t>
      </w:r>
      <w:r>
        <w:rPr>
          <w:rFonts w:ascii="宋体" w:hAnsi="宋体" w:eastAsia="宋体" w:cs="宋体"/>
          <w:spacing w:val="-21"/>
          <w:sz w:val="26"/>
          <w:szCs w:val="26"/>
          <w:u w:val="single" w:color="auto"/>
        </w:rPr>
        <w:t>随箱带有紧固轴力(预拉力)检验报告。高强度大六角头螺栓连</w:t>
      </w:r>
      <w:r>
        <w:rPr>
          <w:rFonts w:ascii="宋体" w:hAnsi="宋体" w:eastAsia="宋体" w:cs="宋体"/>
          <w:spacing w:val="-11"/>
          <w:sz w:val="26"/>
          <w:szCs w:val="26"/>
        </w:rPr>
        <w:t>接</w:t>
      </w:r>
      <w:r>
        <w:rPr>
          <w:rFonts w:ascii="宋体" w:hAnsi="宋体" w:eastAsia="宋体" w:cs="宋体"/>
          <w:spacing w:val="18"/>
          <w:sz w:val="26"/>
          <w:szCs w:val="26"/>
        </w:rPr>
        <w:t xml:space="preserve"> </w:t>
      </w:r>
      <w:r>
        <w:rPr>
          <w:rFonts w:ascii="宋体" w:hAnsi="宋体" w:eastAsia="宋体" w:cs="宋体"/>
          <w:spacing w:val="-20"/>
          <w:sz w:val="26"/>
          <w:szCs w:val="26"/>
        </w:rPr>
        <w:t>副</w:t>
      </w:r>
      <w:r>
        <w:rPr>
          <w:rFonts w:ascii="宋体" w:hAnsi="宋体" w:eastAsia="宋体" w:cs="宋体"/>
          <w:spacing w:val="-20"/>
          <w:sz w:val="26"/>
          <w:szCs w:val="26"/>
          <w:u w:val="single" w:color="auto"/>
        </w:rPr>
        <w:t>和扭剪型高强度螺栓连接副进场时，应按国家现行标准的规</w:t>
      </w:r>
      <w:r>
        <w:rPr>
          <w:rFonts w:ascii="宋体" w:hAnsi="宋体" w:eastAsia="宋体" w:cs="宋体"/>
          <w:spacing w:val="-21"/>
          <w:sz w:val="26"/>
          <w:szCs w:val="26"/>
          <w:u w:val="single" w:color="auto"/>
        </w:rPr>
        <w:t>定抽取试件且应分别</w:t>
      </w:r>
      <w:r>
        <w:rPr>
          <w:rFonts w:ascii="宋体" w:hAnsi="宋体" w:eastAsia="宋体" w:cs="宋体"/>
          <w:spacing w:val="-21"/>
          <w:sz w:val="26"/>
          <w:szCs w:val="26"/>
        </w:rPr>
        <w:t>进</w:t>
      </w:r>
      <w:r>
        <w:rPr>
          <w:rFonts w:ascii="宋体" w:hAnsi="宋体" w:eastAsia="宋体" w:cs="宋体"/>
          <w:sz w:val="26"/>
          <w:szCs w:val="26"/>
        </w:rPr>
        <w:t xml:space="preserve">  </w:t>
      </w:r>
      <w:r>
        <w:rPr>
          <w:rFonts w:ascii="宋体" w:hAnsi="宋体" w:eastAsia="宋体" w:cs="宋体"/>
          <w:spacing w:val="-17"/>
          <w:sz w:val="26"/>
          <w:szCs w:val="26"/>
        </w:rPr>
        <w:t>行扭矩系数和紧固轴力(预拉力)检验，检验结果应符合国家现行标准的规定。</w:t>
      </w:r>
    </w:p>
    <w:p w14:paraId="474E8176">
      <w:pPr>
        <w:spacing w:before="145" w:line="316" w:lineRule="auto"/>
        <w:ind w:right="178" w:firstLine="479"/>
        <w:rPr>
          <w:rFonts w:ascii="宋体" w:hAnsi="宋体" w:eastAsia="宋体" w:cs="宋体"/>
          <w:sz w:val="26"/>
          <w:szCs w:val="26"/>
        </w:rPr>
      </w:pPr>
      <w:r>
        <w:rPr>
          <w:rFonts w:ascii="宋体" w:hAnsi="宋体" w:eastAsia="宋体" w:cs="宋体"/>
          <w:spacing w:val="-19"/>
          <w:sz w:val="26"/>
          <w:szCs w:val="26"/>
        </w:rPr>
        <w:t>检查数量：质量证明文件全数检查，抽样数量按</w:t>
      </w:r>
      <w:r>
        <w:rPr>
          <w:rFonts w:ascii="宋体" w:hAnsi="宋体" w:eastAsia="宋体" w:cs="宋体"/>
          <w:spacing w:val="-20"/>
          <w:sz w:val="26"/>
          <w:szCs w:val="26"/>
        </w:rPr>
        <w:t>进场批次和产品的抽样检验方案</w:t>
      </w:r>
      <w:r>
        <w:rPr>
          <w:rFonts w:ascii="宋体" w:hAnsi="宋体" w:eastAsia="宋体" w:cs="宋体"/>
          <w:sz w:val="26"/>
          <w:szCs w:val="26"/>
        </w:rPr>
        <w:t xml:space="preserve"> </w:t>
      </w:r>
      <w:r>
        <w:rPr>
          <w:rFonts w:ascii="宋体" w:hAnsi="宋体" w:eastAsia="宋体" w:cs="宋体"/>
          <w:spacing w:val="17"/>
          <w:sz w:val="26"/>
          <w:szCs w:val="26"/>
        </w:rPr>
        <w:t>确定</w:t>
      </w:r>
      <w:r>
        <w:rPr>
          <w:rFonts w:ascii="宋体" w:hAnsi="宋体" w:eastAsia="宋体" w:cs="宋体"/>
          <w:spacing w:val="-65"/>
          <w:sz w:val="26"/>
          <w:szCs w:val="26"/>
        </w:rPr>
        <w:t xml:space="preserve"> </w:t>
      </w:r>
      <w:r>
        <w:rPr>
          <w:rFonts w:ascii="宋体" w:hAnsi="宋体" w:eastAsia="宋体" w:cs="宋体"/>
          <w:spacing w:val="17"/>
          <w:sz w:val="26"/>
          <w:szCs w:val="26"/>
        </w:rPr>
        <w:t>。</w:t>
      </w:r>
    </w:p>
    <w:p w14:paraId="687279FA">
      <w:pPr>
        <w:spacing w:before="8" w:line="218" w:lineRule="auto"/>
        <w:ind w:left="479"/>
        <w:rPr>
          <w:rFonts w:ascii="宋体" w:hAnsi="宋体" w:eastAsia="宋体" w:cs="宋体"/>
          <w:sz w:val="24"/>
          <w:szCs w:val="24"/>
        </w:rPr>
      </w:pPr>
      <w:r>
        <w:rPr>
          <w:rFonts w:ascii="宋体" w:hAnsi="宋体" w:eastAsia="宋体" w:cs="宋体"/>
          <w:spacing w:val="8"/>
          <w:sz w:val="24"/>
          <w:szCs w:val="24"/>
        </w:rPr>
        <w:t>检</w:t>
      </w:r>
      <w:r>
        <w:rPr>
          <w:rFonts w:ascii="宋体" w:hAnsi="宋体" w:eastAsia="宋体" w:cs="宋体"/>
          <w:spacing w:val="8"/>
          <w:sz w:val="24"/>
          <w:szCs w:val="24"/>
          <w:u w:val="single" w:color="auto"/>
        </w:rPr>
        <w:t>验方法：检查质量证明文件和抽样检验报告</w:t>
      </w:r>
      <w:r>
        <w:rPr>
          <w:rFonts w:ascii="宋体" w:hAnsi="宋体" w:eastAsia="宋体" w:cs="宋体"/>
          <w:sz w:val="24"/>
          <w:szCs w:val="24"/>
          <w:u w:val="single" w:color="auto"/>
        </w:rPr>
        <w:t xml:space="preserve">  </w:t>
      </w:r>
    </w:p>
    <w:p w14:paraId="219E4A95">
      <w:pPr>
        <w:spacing w:before="139" w:line="219" w:lineRule="auto"/>
        <w:rPr>
          <w:rFonts w:ascii="宋体" w:hAnsi="宋体" w:eastAsia="宋体" w:cs="宋体"/>
          <w:sz w:val="25"/>
          <w:szCs w:val="25"/>
        </w:rPr>
      </w:pPr>
      <w:r>
        <w:rPr>
          <w:rFonts w:ascii="宋体" w:hAnsi="宋体" w:eastAsia="宋体" w:cs="宋体"/>
          <w:spacing w:val="-4"/>
          <w:sz w:val="25"/>
          <w:szCs w:val="25"/>
          <w:u w:val="single" w:color="auto"/>
        </w:rPr>
        <w:t>5.2.4设计要求的一、二级焊缝应进行内部缺陷的无损检测，一、二级焊缝的质量等</w:t>
      </w:r>
    </w:p>
    <w:p w14:paraId="07F79462">
      <w:pPr>
        <w:spacing w:before="163" w:line="219" w:lineRule="auto"/>
        <w:rPr>
          <w:rFonts w:ascii="宋体" w:hAnsi="宋体" w:eastAsia="宋体" w:cs="宋体"/>
          <w:sz w:val="25"/>
          <w:szCs w:val="25"/>
        </w:rPr>
      </w:pPr>
      <w:r>
        <w:rPr>
          <w:rFonts w:ascii="宋体" w:hAnsi="宋体" w:eastAsia="宋体" w:cs="宋体"/>
          <w:color w:val="203050"/>
          <w:spacing w:val="1"/>
          <w:sz w:val="25"/>
          <w:szCs w:val="25"/>
        </w:rPr>
        <w:t>级和检</w:t>
      </w:r>
      <w:r>
        <w:rPr>
          <w:rFonts w:ascii="宋体" w:hAnsi="宋体" w:eastAsia="宋体" w:cs="宋体"/>
          <w:color w:val="203050"/>
          <w:spacing w:val="1"/>
          <w:sz w:val="25"/>
          <w:szCs w:val="25"/>
          <w:u w:val="single" w:color="auto"/>
        </w:rPr>
        <w:t>测要求应符合表5.2.4的规定</w:t>
      </w:r>
      <w:r>
        <w:rPr>
          <w:rFonts w:ascii="宋体" w:hAnsi="宋体" w:eastAsia="宋体" w:cs="宋体"/>
          <w:color w:val="203050"/>
          <w:spacing w:val="7"/>
          <w:sz w:val="25"/>
          <w:szCs w:val="25"/>
          <w:u w:val="single" w:color="auto"/>
        </w:rPr>
        <w:t xml:space="preserve">  </w:t>
      </w:r>
    </w:p>
    <w:p w14:paraId="6A0C25B5">
      <w:pPr>
        <w:spacing w:before="304" w:line="219" w:lineRule="auto"/>
        <w:ind w:left="479"/>
        <w:rPr>
          <w:rFonts w:ascii="宋体" w:hAnsi="宋体" w:eastAsia="宋体" w:cs="宋体"/>
          <w:sz w:val="25"/>
          <w:szCs w:val="25"/>
        </w:rPr>
      </w:pPr>
      <w:r>
        <w:rPr>
          <w:rFonts w:ascii="宋体" w:hAnsi="宋体" w:eastAsia="宋体" w:cs="宋体"/>
          <w:spacing w:val="4"/>
          <w:sz w:val="25"/>
          <w:szCs w:val="25"/>
        </w:rPr>
        <w:t>检查</w:t>
      </w:r>
      <w:r>
        <w:rPr>
          <w:rFonts w:ascii="宋体" w:hAnsi="宋体" w:eastAsia="宋体" w:cs="宋体"/>
          <w:spacing w:val="4"/>
          <w:sz w:val="25"/>
          <w:szCs w:val="25"/>
          <w:u w:val="single" w:color="auto"/>
        </w:rPr>
        <w:t>数量：全数检查</w:t>
      </w:r>
      <w:r>
        <w:rPr>
          <w:rFonts w:ascii="宋体" w:hAnsi="宋体" w:eastAsia="宋体" w:cs="宋体"/>
          <w:spacing w:val="2"/>
          <w:sz w:val="25"/>
          <w:szCs w:val="25"/>
          <w:u w:val="single" w:color="auto"/>
        </w:rPr>
        <w:t xml:space="preserve">  </w:t>
      </w:r>
    </w:p>
    <w:p w14:paraId="434DEDD9">
      <w:pPr>
        <w:spacing w:before="153" w:line="219" w:lineRule="auto"/>
        <w:ind w:left="479"/>
        <w:rPr>
          <w:rFonts w:ascii="宋体" w:hAnsi="宋体" w:eastAsia="宋体" w:cs="宋体"/>
          <w:sz w:val="24"/>
          <w:szCs w:val="24"/>
        </w:rPr>
      </w:pPr>
      <w:r>
        <w:rPr>
          <w:rFonts w:ascii="宋体" w:hAnsi="宋体" w:eastAsia="宋体" w:cs="宋体"/>
          <w:spacing w:val="7"/>
          <w:sz w:val="24"/>
          <w:szCs w:val="24"/>
        </w:rPr>
        <w:t>检验方法：检查超声波或射线探伤记录。</w:t>
      </w:r>
    </w:p>
    <w:p w14:paraId="76D651EC">
      <w:pPr>
        <w:spacing w:before="55" w:line="219" w:lineRule="auto"/>
        <w:rPr>
          <w:rFonts w:ascii="宋体" w:hAnsi="宋体" w:eastAsia="宋体" w:cs="宋体"/>
          <w:sz w:val="24"/>
          <w:szCs w:val="24"/>
        </w:rPr>
      </w:pPr>
      <w:r>
        <w:rPr>
          <w:rFonts w:ascii="宋体" w:hAnsi="宋体" w:eastAsia="宋体" w:cs="宋体"/>
          <w:spacing w:val="1"/>
          <w:sz w:val="24"/>
          <w:szCs w:val="24"/>
        </w:rPr>
        <w:t>表5.2.4—一级、二级焊缝质量等级及无</w:t>
      </w:r>
      <w:r>
        <w:rPr>
          <w:rFonts w:ascii="宋体" w:hAnsi="宋体" w:eastAsia="宋体" w:cs="宋体"/>
          <w:sz w:val="24"/>
          <w:szCs w:val="24"/>
        </w:rPr>
        <w:t>损检测要求</w:t>
      </w:r>
    </w:p>
    <w:p w14:paraId="58F1098D">
      <w:pPr>
        <w:spacing w:before="189"/>
      </w:pPr>
    </w:p>
    <w:tbl>
      <w:tblPr>
        <w:tblStyle w:val="5"/>
        <w:tblW w:w="8950" w:type="dxa"/>
        <w:tblInd w:w="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21"/>
        <w:gridCol w:w="2018"/>
        <w:gridCol w:w="1858"/>
        <w:gridCol w:w="1753"/>
      </w:tblGrid>
      <w:tr w14:paraId="6F5AA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5339" w:type="dxa"/>
            <w:gridSpan w:val="2"/>
            <w:vAlign w:val="top"/>
          </w:tcPr>
          <w:p w14:paraId="19EE9B6B">
            <w:pPr>
              <w:pStyle w:val="6"/>
              <w:spacing w:before="81" w:line="219" w:lineRule="auto"/>
              <w:ind w:left="1948"/>
              <w:rPr>
                <w:sz w:val="25"/>
                <w:szCs w:val="25"/>
              </w:rPr>
            </w:pPr>
            <w:r>
              <w:rPr>
                <w:b/>
                <w:bCs/>
                <w:spacing w:val="-5"/>
                <w:sz w:val="25"/>
                <w:szCs w:val="25"/>
              </w:rPr>
              <w:t>焊缝质量等级</w:t>
            </w:r>
          </w:p>
        </w:tc>
        <w:tc>
          <w:tcPr>
            <w:tcW w:w="1858" w:type="dxa"/>
            <w:vAlign w:val="top"/>
          </w:tcPr>
          <w:p w14:paraId="17A8E96A">
            <w:pPr>
              <w:pStyle w:val="6"/>
              <w:spacing w:before="85" w:line="221" w:lineRule="auto"/>
              <w:ind w:left="679"/>
              <w:rPr>
                <w:sz w:val="25"/>
                <w:szCs w:val="25"/>
              </w:rPr>
            </w:pPr>
            <w:r>
              <w:rPr>
                <w:b/>
                <w:bCs/>
                <w:spacing w:val="1"/>
                <w:sz w:val="25"/>
                <w:szCs w:val="25"/>
              </w:rPr>
              <w:t>一级</w:t>
            </w:r>
          </w:p>
        </w:tc>
        <w:tc>
          <w:tcPr>
            <w:tcW w:w="1753" w:type="dxa"/>
            <w:vAlign w:val="top"/>
          </w:tcPr>
          <w:p w14:paraId="2CAC0183">
            <w:pPr>
              <w:pStyle w:val="6"/>
              <w:spacing w:before="85" w:line="221" w:lineRule="auto"/>
              <w:ind w:left="621"/>
              <w:rPr>
                <w:sz w:val="25"/>
                <w:szCs w:val="25"/>
              </w:rPr>
            </w:pPr>
            <w:r>
              <w:rPr>
                <w:b/>
                <w:bCs/>
                <w:spacing w:val="1"/>
                <w:sz w:val="25"/>
                <w:szCs w:val="25"/>
              </w:rPr>
              <w:t>二级</w:t>
            </w:r>
          </w:p>
        </w:tc>
      </w:tr>
      <w:tr w14:paraId="02EDE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321" w:type="dxa"/>
            <w:vMerge w:val="restart"/>
            <w:tcBorders>
              <w:bottom w:val="nil"/>
            </w:tcBorders>
            <w:vAlign w:val="top"/>
          </w:tcPr>
          <w:p w14:paraId="67A50CBE">
            <w:pPr>
              <w:pStyle w:val="6"/>
              <w:spacing w:before="217" w:line="298" w:lineRule="auto"/>
              <w:ind w:left="1028" w:right="1041" w:firstLine="129"/>
              <w:rPr>
                <w:sz w:val="25"/>
                <w:szCs w:val="25"/>
              </w:rPr>
            </w:pPr>
            <w:r>
              <w:rPr>
                <w:b/>
                <w:bCs/>
                <w:sz w:val="25"/>
                <w:szCs w:val="25"/>
              </w:rPr>
              <w:t>内部缺陷</w:t>
            </w:r>
            <w:r>
              <w:rPr>
                <w:sz w:val="25"/>
                <w:szCs w:val="25"/>
              </w:rPr>
              <w:t xml:space="preserve"> </w:t>
            </w:r>
            <w:r>
              <w:rPr>
                <w:b/>
                <w:bCs/>
                <w:spacing w:val="-5"/>
                <w:sz w:val="25"/>
                <w:szCs w:val="25"/>
              </w:rPr>
              <w:t>超声波探伤</w:t>
            </w:r>
          </w:p>
        </w:tc>
        <w:tc>
          <w:tcPr>
            <w:tcW w:w="2018" w:type="dxa"/>
            <w:vAlign w:val="top"/>
          </w:tcPr>
          <w:p w14:paraId="6EF8F63C">
            <w:pPr>
              <w:pStyle w:val="6"/>
              <w:spacing w:before="47" w:line="215" w:lineRule="auto"/>
              <w:ind w:left="257"/>
              <w:rPr>
                <w:sz w:val="25"/>
                <w:szCs w:val="25"/>
              </w:rPr>
            </w:pPr>
            <w:r>
              <w:rPr>
                <w:b/>
                <w:bCs/>
                <w:spacing w:val="-4"/>
                <w:sz w:val="25"/>
                <w:szCs w:val="25"/>
              </w:rPr>
              <w:t>缺陷评定等级</w:t>
            </w:r>
          </w:p>
        </w:tc>
        <w:tc>
          <w:tcPr>
            <w:tcW w:w="1858" w:type="dxa"/>
            <w:vAlign w:val="top"/>
          </w:tcPr>
          <w:p w14:paraId="21A1F3A6">
            <w:pPr>
              <w:pStyle w:val="6"/>
              <w:spacing w:before="69" w:line="199" w:lineRule="auto"/>
              <w:ind w:left="799"/>
              <w:rPr>
                <w:sz w:val="25"/>
                <w:szCs w:val="25"/>
              </w:rPr>
            </w:pPr>
            <w:r>
              <w:rPr>
                <w:b/>
                <w:bCs/>
                <w:spacing w:val="-3"/>
                <w:sz w:val="25"/>
                <w:szCs w:val="25"/>
              </w:rPr>
              <w:t>Ⅱ</w:t>
            </w:r>
          </w:p>
        </w:tc>
        <w:tc>
          <w:tcPr>
            <w:tcW w:w="1753" w:type="dxa"/>
            <w:vAlign w:val="top"/>
          </w:tcPr>
          <w:p w14:paraId="2DFFBAB0">
            <w:pPr>
              <w:pStyle w:val="6"/>
              <w:spacing w:before="69" w:line="199" w:lineRule="auto"/>
              <w:ind w:left="751"/>
              <w:rPr>
                <w:sz w:val="25"/>
                <w:szCs w:val="25"/>
              </w:rPr>
            </w:pPr>
            <w:r>
              <w:rPr>
                <w:b/>
                <w:bCs/>
                <w:spacing w:val="-3"/>
                <w:sz w:val="25"/>
                <w:szCs w:val="25"/>
              </w:rPr>
              <w:t>Ⅲ</w:t>
            </w:r>
          </w:p>
        </w:tc>
      </w:tr>
      <w:tr w14:paraId="2CD75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3321" w:type="dxa"/>
            <w:vMerge w:val="continue"/>
            <w:tcBorders>
              <w:top w:val="nil"/>
              <w:bottom w:val="nil"/>
            </w:tcBorders>
            <w:vAlign w:val="top"/>
          </w:tcPr>
          <w:p w14:paraId="57CE1210">
            <w:pPr>
              <w:rPr>
                <w:rFonts w:ascii="Arial"/>
                <w:sz w:val="21"/>
              </w:rPr>
            </w:pPr>
          </w:p>
        </w:tc>
        <w:tc>
          <w:tcPr>
            <w:tcW w:w="2018" w:type="dxa"/>
            <w:vAlign w:val="top"/>
          </w:tcPr>
          <w:p w14:paraId="0B76C2AA">
            <w:pPr>
              <w:pStyle w:val="6"/>
              <w:spacing w:before="59" w:line="213" w:lineRule="auto"/>
              <w:ind w:left="507"/>
              <w:rPr>
                <w:sz w:val="25"/>
                <w:szCs w:val="25"/>
              </w:rPr>
            </w:pPr>
            <w:r>
              <w:rPr>
                <w:b/>
                <w:bCs/>
                <w:spacing w:val="-5"/>
                <w:sz w:val="25"/>
                <w:szCs w:val="25"/>
              </w:rPr>
              <w:t>检验等级</w:t>
            </w:r>
          </w:p>
        </w:tc>
        <w:tc>
          <w:tcPr>
            <w:tcW w:w="1858" w:type="dxa"/>
            <w:vAlign w:val="top"/>
          </w:tcPr>
          <w:p w14:paraId="1A712BED">
            <w:pPr>
              <w:pStyle w:val="6"/>
              <w:spacing w:before="62" w:line="211" w:lineRule="auto"/>
              <w:ind w:left="739"/>
              <w:rPr>
                <w:sz w:val="25"/>
                <w:szCs w:val="25"/>
              </w:rPr>
            </w:pPr>
            <w:r>
              <w:rPr>
                <w:b/>
                <w:bCs/>
                <w:spacing w:val="-4"/>
                <w:sz w:val="25"/>
                <w:szCs w:val="25"/>
              </w:rPr>
              <w:t>B级</w:t>
            </w:r>
          </w:p>
        </w:tc>
        <w:tc>
          <w:tcPr>
            <w:tcW w:w="1753" w:type="dxa"/>
            <w:vAlign w:val="top"/>
          </w:tcPr>
          <w:p w14:paraId="4CD5274E">
            <w:pPr>
              <w:pStyle w:val="6"/>
              <w:spacing w:before="62" w:line="211" w:lineRule="auto"/>
              <w:ind w:left="681"/>
              <w:rPr>
                <w:sz w:val="25"/>
                <w:szCs w:val="25"/>
              </w:rPr>
            </w:pPr>
            <w:r>
              <w:rPr>
                <w:b/>
                <w:bCs/>
                <w:spacing w:val="-4"/>
                <w:sz w:val="25"/>
                <w:szCs w:val="25"/>
              </w:rPr>
              <w:t>B级</w:t>
            </w:r>
          </w:p>
        </w:tc>
      </w:tr>
      <w:tr w14:paraId="748F1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321" w:type="dxa"/>
            <w:vMerge w:val="continue"/>
            <w:tcBorders>
              <w:top w:val="nil"/>
            </w:tcBorders>
            <w:vAlign w:val="top"/>
          </w:tcPr>
          <w:p w14:paraId="60E8BC5C">
            <w:pPr>
              <w:rPr>
                <w:rFonts w:ascii="Arial"/>
                <w:sz w:val="21"/>
              </w:rPr>
            </w:pPr>
          </w:p>
        </w:tc>
        <w:tc>
          <w:tcPr>
            <w:tcW w:w="2018" w:type="dxa"/>
            <w:vAlign w:val="top"/>
          </w:tcPr>
          <w:p w14:paraId="515F6F02">
            <w:pPr>
              <w:pStyle w:val="6"/>
              <w:spacing w:before="51" w:line="212" w:lineRule="auto"/>
              <w:ind w:left="507"/>
              <w:rPr>
                <w:sz w:val="25"/>
                <w:szCs w:val="25"/>
              </w:rPr>
            </w:pPr>
            <w:r>
              <w:rPr>
                <w:b/>
                <w:bCs/>
                <w:sz w:val="25"/>
                <w:szCs w:val="25"/>
              </w:rPr>
              <w:t>检测比例</w:t>
            </w:r>
          </w:p>
        </w:tc>
        <w:tc>
          <w:tcPr>
            <w:tcW w:w="1858" w:type="dxa"/>
            <w:vAlign w:val="top"/>
          </w:tcPr>
          <w:p w14:paraId="774E9019">
            <w:pPr>
              <w:pStyle w:val="6"/>
              <w:spacing w:before="78" w:line="192" w:lineRule="auto"/>
              <w:ind w:left="679"/>
              <w:rPr>
                <w:sz w:val="25"/>
                <w:szCs w:val="25"/>
              </w:rPr>
            </w:pPr>
            <w:r>
              <w:rPr>
                <w:b/>
                <w:bCs/>
                <w:spacing w:val="-8"/>
                <w:sz w:val="25"/>
                <w:szCs w:val="25"/>
              </w:rPr>
              <w:t>100%</w:t>
            </w:r>
          </w:p>
        </w:tc>
        <w:tc>
          <w:tcPr>
            <w:tcW w:w="1753" w:type="dxa"/>
            <w:vAlign w:val="top"/>
          </w:tcPr>
          <w:p w14:paraId="23CD4877">
            <w:pPr>
              <w:pStyle w:val="6"/>
              <w:spacing w:before="78" w:line="192" w:lineRule="auto"/>
              <w:ind w:left="681"/>
              <w:rPr>
                <w:sz w:val="25"/>
                <w:szCs w:val="25"/>
              </w:rPr>
            </w:pPr>
            <w:r>
              <w:rPr>
                <w:b/>
                <w:bCs/>
                <w:spacing w:val="-6"/>
                <w:sz w:val="25"/>
                <w:szCs w:val="25"/>
              </w:rPr>
              <w:t>20%</w:t>
            </w:r>
          </w:p>
        </w:tc>
      </w:tr>
      <w:tr w14:paraId="7E69B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3321" w:type="dxa"/>
            <w:vMerge w:val="restart"/>
            <w:tcBorders>
              <w:bottom w:val="nil"/>
            </w:tcBorders>
            <w:vAlign w:val="top"/>
          </w:tcPr>
          <w:p w14:paraId="2AEB6E51">
            <w:pPr>
              <w:pStyle w:val="6"/>
              <w:spacing w:before="213" w:line="312" w:lineRule="auto"/>
              <w:ind w:left="1158" w:right="1140"/>
              <w:rPr>
                <w:sz w:val="25"/>
                <w:szCs w:val="25"/>
              </w:rPr>
            </w:pPr>
            <w:r>
              <w:rPr>
                <w:b/>
                <w:bCs/>
                <w:sz w:val="25"/>
                <w:szCs w:val="25"/>
              </w:rPr>
              <w:t>内部缺陷</w:t>
            </w:r>
            <w:r>
              <w:rPr>
                <w:sz w:val="25"/>
                <w:szCs w:val="25"/>
              </w:rPr>
              <w:t xml:space="preserve"> </w:t>
            </w:r>
            <w:r>
              <w:rPr>
                <w:b/>
                <w:bCs/>
                <w:spacing w:val="-5"/>
                <w:sz w:val="25"/>
                <w:szCs w:val="25"/>
              </w:rPr>
              <w:t>射线探伤</w:t>
            </w:r>
          </w:p>
        </w:tc>
        <w:tc>
          <w:tcPr>
            <w:tcW w:w="2018" w:type="dxa"/>
            <w:vAlign w:val="top"/>
          </w:tcPr>
          <w:p w14:paraId="5FC90486">
            <w:pPr>
              <w:pStyle w:val="6"/>
              <w:spacing w:before="51" w:line="212" w:lineRule="auto"/>
              <w:ind w:left="257"/>
              <w:rPr>
                <w:sz w:val="25"/>
                <w:szCs w:val="25"/>
              </w:rPr>
            </w:pPr>
            <w:r>
              <w:rPr>
                <w:b/>
                <w:bCs/>
                <w:spacing w:val="-4"/>
                <w:sz w:val="25"/>
                <w:szCs w:val="25"/>
              </w:rPr>
              <w:t>缺陷评定等级</w:t>
            </w:r>
          </w:p>
        </w:tc>
        <w:tc>
          <w:tcPr>
            <w:tcW w:w="1858" w:type="dxa"/>
            <w:vAlign w:val="top"/>
          </w:tcPr>
          <w:p w14:paraId="63CE657F">
            <w:pPr>
              <w:pStyle w:val="6"/>
              <w:spacing w:before="73" w:line="196" w:lineRule="auto"/>
              <w:ind w:left="799"/>
              <w:rPr>
                <w:sz w:val="25"/>
                <w:szCs w:val="25"/>
              </w:rPr>
            </w:pPr>
            <w:r>
              <w:rPr>
                <w:b/>
                <w:bCs/>
                <w:spacing w:val="-3"/>
                <w:sz w:val="25"/>
                <w:szCs w:val="25"/>
              </w:rPr>
              <w:t>Ⅱ</w:t>
            </w:r>
          </w:p>
        </w:tc>
        <w:tc>
          <w:tcPr>
            <w:tcW w:w="1753" w:type="dxa"/>
            <w:vAlign w:val="top"/>
          </w:tcPr>
          <w:p w14:paraId="5FA821D8">
            <w:pPr>
              <w:pStyle w:val="6"/>
              <w:spacing w:before="73" w:line="196" w:lineRule="auto"/>
              <w:ind w:left="751"/>
              <w:rPr>
                <w:sz w:val="25"/>
                <w:szCs w:val="25"/>
              </w:rPr>
            </w:pPr>
            <w:r>
              <w:rPr>
                <w:b/>
                <w:bCs/>
                <w:spacing w:val="-3"/>
                <w:sz w:val="25"/>
                <w:szCs w:val="25"/>
              </w:rPr>
              <w:t>Ⅲ</w:t>
            </w:r>
          </w:p>
        </w:tc>
      </w:tr>
      <w:tr w14:paraId="3E9E9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3321" w:type="dxa"/>
            <w:vMerge w:val="continue"/>
            <w:tcBorders>
              <w:top w:val="nil"/>
              <w:bottom w:val="nil"/>
            </w:tcBorders>
            <w:vAlign w:val="top"/>
          </w:tcPr>
          <w:p w14:paraId="4C4B81FF">
            <w:pPr>
              <w:rPr>
                <w:rFonts w:ascii="Arial"/>
                <w:sz w:val="21"/>
              </w:rPr>
            </w:pPr>
          </w:p>
        </w:tc>
        <w:tc>
          <w:tcPr>
            <w:tcW w:w="2018" w:type="dxa"/>
            <w:vAlign w:val="top"/>
          </w:tcPr>
          <w:p w14:paraId="51210D57">
            <w:pPr>
              <w:pStyle w:val="6"/>
              <w:spacing w:before="63" w:line="211" w:lineRule="auto"/>
              <w:ind w:left="507"/>
              <w:rPr>
                <w:sz w:val="25"/>
                <w:szCs w:val="25"/>
              </w:rPr>
            </w:pPr>
            <w:r>
              <w:rPr>
                <w:b/>
                <w:bCs/>
                <w:spacing w:val="-5"/>
                <w:sz w:val="25"/>
                <w:szCs w:val="25"/>
              </w:rPr>
              <w:t>检验等级</w:t>
            </w:r>
          </w:p>
        </w:tc>
        <w:tc>
          <w:tcPr>
            <w:tcW w:w="1858" w:type="dxa"/>
            <w:vAlign w:val="top"/>
          </w:tcPr>
          <w:p w14:paraId="63F196CE">
            <w:pPr>
              <w:pStyle w:val="6"/>
              <w:spacing w:before="65" w:line="209" w:lineRule="auto"/>
              <w:ind w:left="739"/>
              <w:rPr>
                <w:sz w:val="25"/>
                <w:szCs w:val="25"/>
              </w:rPr>
            </w:pPr>
            <w:r>
              <w:rPr>
                <w:b/>
                <w:bCs/>
                <w:spacing w:val="-4"/>
                <w:sz w:val="25"/>
                <w:szCs w:val="25"/>
              </w:rPr>
              <w:t>B级</w:t>
            </w:r>
          </w:p>
        </w:tc>
        <w:tc>
          <w:tcPr>
            <w:tcW w:w="1753" w:type="dxa"/>
            <w:vAlign w:val="top"/>
          </w:tcPr>
          <w:p w14:paraId="36AC5EAE">
            <w:pPr>
              <w:pStyle w:val="6"/>
              <w:spacing w:before="65" w:line="209" w:lineRule="auto"/>
              <w:ind w:left="681"/>
              <w:rPr>
                <w:sz w:val="25"/>
                <w:szCs w:val="25"/>
              </w:rPr>
            </w:pPr>
            <w:r>
              <w:rPr>
                <w:b/>
                <w:bCs/>
                <w:spacing w:val="-4"/>
                <w:sz w:val="25"/>
                <w:szCs w:val="25"/>
              </w:rPr>
              <w:t>B级</w:t>
            </w:r>
          </w:p>
        </w:tc>
      </w:tr>
      <w:tr w14:paraId="5FD4D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3321" w:type="dxa"/>
            <w:vMerge w:val="continue"/>
            <w:tcBorders>
              <w:top w:val="nil"/>
            </w:tcBorders>
            <w:vAlign w:val="top"/>
          </w:tcPr>
          <w:p w14:paraId="6F635860">
            <w:pPr>
              <w:rPr>
                <w:rFonts w:ascii="Arial"/>
                <w:sz w:val="21"/>
              </w:rPr>
            </w:pPr>
          </w:p>
        </w:tc>
        <w:tc>
          <w:tcPr>
            <w:tcW w:w="2018" w:type="dxa"/>
            <w:vAlign w:val="top"/>
          </w:tcPr>
          <w:p w14:paraId="39D1D029">
            <w:pPr>
              <w:pStyle w:val="6"/>
              <w:spacing w:before="64" w:line="213" w:lineRule="auto"/>
              <w:ind w:left="507"/>
              <w:rPr>
                <w:sz w:val="25"/>
                <w:szCs w:val="25"/>
              </w:rPr>
            </w:pPr>
            <w:r>
              <w:rPr>
                <w:b/>
                <w:bCs/>
                <w:sz w:val="25"/>
                <w:szCs w:val="25"/>
              </w:rPr>
              <w:t>检测比例</w:t>
            </w:r>
          </w:p>
        </w:tc>
        <w:tc>
          <w:tcPr>
            <w:tcW w:w="1858" w:type="dxa"/>
            <w:vAlign w:val="top"/>
          </w:tcPr>
          <w:p w14:paraId="1BAD5E20">
            <w:pPr>
              <w:pStyle w:val="6"/>
              <w:spacing w:before="91" w:line="193" w:lineRule="auto"/>
              <w:ind w:left="679"/>
              <w:rPr>
                <w:sz w:val="25"/>
                <w:szCs w:val="25"/>
              </w:rPr>
            </w:pPr>
            <w:r>
              <w:rPr>
                <w:b/>
                <w:bCs/>
                <w:spacing w:val="-8"/>
                <w:sz w:val="25"/>
                <w:szCs w:val="25"/>
              </w:rPr>
              <w:t>100%</w:t>
            </w:r>
          </w:p>
        </w:tc>
        <w:tc>
          <w:tcPr>
            <w:tcW w:w="1753" w:type="dxa"/>
            <w:vAlign w:val="top"/>
          </w:tcPr>
          <w:p w14:paraId="048242D1">
            <w:pPr>
              <w:pStyle w:val="6"/>
              <w:spacing w:before="91" w:line="193" w:lineRule="auto"/>
              <w:ind w:left="681"/>
              <w:rPr>
                <w:sz w:val="25"/>
                <w:szCs w:val="25"/>
              </w:rPr>
            </w:pPr>
            <w:r>
              <w:rPr>
                <w:b/>
                <w:bCs/>
                <w:spacing w:val="-6"/>
                <w:sz w:val="25"/>
                <w:szCs w:val="25"/>
              </w:rPr>
              <w:t>20%</w:t>
            </w:r>
          </w:p>
        </w:tc>
      </w:tr>
    </w:tbl>
    <w:p w14:paraId="3FEAAC77">
      <w:pPr>
        <w:pStyle w:val="2"/>
        <w:spacing w:line="254" w:lineRule="auto"/>
      </w:pPr>
    </w:p>
    <w:p w14:paraId="19F45F16">
      <w:pPr>
        <w:pStyle w:val="2"/>
        <w:spacing w:line="254" w:lineRule="auto"/>
      </w:pPr>
    </w:p>
    <w:p w14:paraId="1EC04DA1">
      <w:pPr>
        <w:pStyle w:val="2"/>
        <w:spacing w:before="81" w:line="318" w:lineRule="auto"/>
        <w:ind w:right="62" w:firstLine="479"/>
        <w:jc w:val="both"/>
        <w:rPr>
          <w:rFonts w:ascii="宋体" w:hAnsi="宋体" w:eastAsia="宋体" w:cs="宋体"/>
          <w:sz w:val="25"/>
          <w:szCs w:val="25"/>
        </w:rPr>
      </w:pPr>
      <w:r>
        <w:rPr>
          <w:rFonts w:ascii="宋体" w:hAnsi="宋体" w:eastAsia="宋体" w:cs="宋体"/>
          <w:spacing w:val="-9"/>
          <w:sz w:val="25"/>
          <w:szCs w:val="25"/>
        </w:rPr>
        <w:t>注：二级焊缝检测比例的计数方法应按以下原</w:t>
      </w:r>
      <w:r>
        <w:rPr>
          <w:rFonts w:ascii="宋体" w:hAnsi="宋体" w:eastAsia="宋体" w:cs="宋体"/>
          <w:spacing w:val="-10"/>
          <w:sz w:val="25"/>
          <w:szCs w:val="25"/>
        </w:rPr>
        <w:t>则确定：工厂制作焊缝按照焊缝长</w:t>
      </w:r>
      <w:r>
        <w:rPr>
          <w:rFonts w:ascii="宋体" w:hAnsi="宋体" w:eastAsia="宋体" w:cs="宋体"/>
          <w:sz w:val="25"/>
          <w:szCs w:val="25"/>
        </w:rPr>
        <w:t xml:space="preserve">  </w:t>
      </w:r>
      <w:r>
        <w:rPr>
          <w:rFonts w:ascii="宋体" w:hAnsi="宋体" w:eastAsia="宋体" w:cs="宋体"/>
          <w:spacing w:val="-3"/>
          <w:sz w:val="25"/>
          <w:szCs w:val="25"/>
        </w:rPr>
        <w:t>度计算百分比，且探伤长度不小于</w:t>
      </w:r>
      <w:r>
        <w:rPr>
          <w:spacing w:val="-3"/>
          <w:sz w:val="25"/>
          <w:szCs w:val="25"/>
        </w:rPr>
        <w:t xml:space="preserve">200mm; </w:t>
      </w:r>
      <w:r>
        <w:rPr>
          <w:rFonts w:ascii="宋体" w:hAnsi="宋体" w:eastAsia="宋体" w:cs="宋体"/>
          <w:spacing w:val="-3"/>
          <w:sz w:val="25"/>
          <w:szCs w:val="25"/>
        </w:rPr>
        <w:t>当焊缝长度小于</w:t>
      </w:r>
      <w:r>
        <w:rPr>
          <w:spacing w:val="-3"/>
          <w:sz w:val="25"/>
          <w:szCs w:val="25"/>
        </w:rPr>
        <w:t>200 mm</w:t>
      </w:r>
      <w:r>
        <w:rPr>
          <w:rFonts w:ascii="宋体" w:hAnsi="宋体" w:eastAsia="宋体" w:cs="宋体"/>
          <w:spacing w:val="-3"/>
          <w:sz w:val="25"/>
          <w:szCs w:val="25"/>
        </w:rPr>
        <w:t>时，应对整条焊</w:t>
      </w:r>
      <w:r>
        <w:rPr>
          <w:rFonts w:ascii="宋体" w:hAnsi="宋体" w:eastAsia="宋体" w:cs="宋体"/>
          <w:spacing w:val="17"/>
          <w:sz w:val="25"/>
          <w:szCs w:val="25"/>
        </w:rPr>
        <w:t xml:space="preserve"> </w:t>
      </w:r>
      <w:r>
        <w:rPr>
          <w:rFonts w:ascii="宋体" w:hAnsi="宋体" w:eastAsia="宋体" w:cs="宋体"/>
          <w:spacing w:val="-9"/>
          <w:sz w:val="25"/>
          <w:szCs w:val="25"/>
          <w:u w:val="single" w:color="auto"/>
        </w:rPr>
        <w:t>绛探伤：现场安装焊绛应按照同一类型、同一施焊</w:t>
      </w:r>
      <w:r>
        <w:rPr>
          <w:rFonts w:ascii="宋体" w:hAnsi="宋体" w:eastAsia="宋体" w:cs="宋体"/>
          <w:spacing w:val="-10"/>
          <w:sz w:val="25"/>
          <w:szCs w:val="25"/>
          <w:u w:val="single" w:color="auto"/>
        </w:rPr>
        <w:t>条件的焊绛条数计算百分比，且不</w:t>
      </w:r>
      <w:r>
        <w:rPr>
          <w:rFonts w:ascii="宋体" w:hAnsi="宋体" w:eastAsia="宋体" w:cs="宋体"/>
          <w:sz w:val="25"/>
          <w:szCs w:val="25"/>
        </w:rPr>
        <w:t xml:space="preserve">  </w:t>
      </w:r>
      <w:r>
        <w:rPr>
          <w:rFonts w:ascii="宋体" w:hAnsi="宋体" w:eastAsia="宋体" w:cs="宋体"/>
          <w:spacing w:val="23"/>
          <w:sz w:val="25"/>
          <w:szCs w:val="25"/>
        </w:rPr>
        <w:t>应少于3条焊缝。</w:t>
      </w:r>
    </w:p>
    <w:p w14:paraId="70A9CE34">
      <w:pPr>
        <w:spacing w:before="80" w:line="219" w:lineRule="auto"/>
        <w:rPr>
          <w:rFonts w:ascii="宋体" w:hAnsi="宋体" w:eastAsia="宋体" w:cs="宋体"/>
          <w:sz w:val="24"/>
          <w:szCs w:val="24"/>
        </w:rPr>
      </w:pPr>
      <w:r>
        <w:rPr>
          <w:rFonts w:ascii="宋体" w:hAnsi="宋体" w:eastAsia="宋体" w:cs="宋体"/>
          <w:spacing w:val="-2"/>
          <w:sz w:val="24"/>
          <w:szCs w:val="24"/>
        </w:rPr>
        <w:t>6.3.1  钢结构制作和安装单位应分别进行高强度螺栓连</w:t>
      </w:r>
      <w:r>
        <w:rPr>
          <w:rFonts w:ascii="宋体" w:hAnsi="宋体" w:eastAsia="宋体" w:cs="宋体"/>
          <w:spacing w:val="-3"/>
          <w:sz w:val="24"/>
          <w:szCs w:val="24"/>
        </w:rPr>
        <w:t>接摩擦面(含涂层摩擦面)的抗</w:t>
      </w:r>
    </w:p>
    <w:p w14:paraId="7956BBFE">
      <w:pPr>
        <w:spacing w:line="219" w:lineRule="auto"/>
        <w:rPr>
          <w:rFonts w:ascii="宋体" w:hAnsi="宋体" w:eastAsia="宋体" w:cs="宋体"/>
          <w:sz w:val="24"/>
          <w:szCs w:val="24"/>
        </w:rPr>
        <w:sectPr>
          <w:footerReference r:id="rId21" w:type="default"/>
          <w:pgSz w:w="11910" w:h="16840"/>
          <w:pgMar w:top="400" w:right="1459" w:bottom="856" w:left="1370" w:header="0" w:footer="544" w:gutter="0"/>
          <w:cols w:space="720" w:num="1"/>
        </w:sectPr>
      </w:pPr>
    </w:p>
    <w:p w14:paraId="78E8999B">
      <w:pPr>
        <w:pStyle w:val="2"/>
        <w:spacing w:line="303" w:lineRule="auto"/>
      </w:pPr>
    </w:p>
    <w:p w14:paraId="5F44F7C9">
      <w:pPr>
        <w:pStyle w:val="2"/>
        <w:spacing w:line="303" w:lineRule="auto"/>
      </w:pPr>
    </w:p>
    <w:p w14:paraId="2E14E7FB">
      <w:pPr>
        <w:pStyle w:val="2"/>
        <w:spacing w:line="303" w:lineRule="auto"/>
      </w:pPr>
    </w:p>
    <w:p w14:paraId="3E60BE25">
      <w:pPr>
        <w:spacing w:before="78" w:line="341" w:lineRule="auto"/>
        <w:ind w:left="10" w:right="160" w:hanging="5"/>
        <w:rPr>
          <w:rFonts w:ascii="宋体" w:hAnsi="宋体" w:eastAsia="宋体" w:cs="宋体"/>
          <w:sz w:val="24"/>
          <w:szCs w:val="24"/>
        </w:rPr>
      </w:pPr>
      <w:r>
        <w:rPr>
          <w:rFonts w:ascii="宋体" w:hAnsi="宋体" w:eastAsia="宋体" w:cs="宋体"/>
          <w:strike/>
          <w:color w:val="202935"/>
          <w:sz w:val="24"/>
          <w:szCs w:val="24"/>
        </w:rPr>
        <w:t>滑移系数试验和复验，现场处理的构件摩擦面应单独进行摩</w:t>
      </w:r>
      <w:r>
        <w:rPr>
          <w:rFonts w:ascii="宋体" w:hAnsi="宋体" w:eastAsia="宋体" w:cs="宋体"/>
          <w:strike/>
          <w:color w:val="202935"/>
          <w:spacing w:val="-1"/>
          <w:sz w:val="24"/>
          <w:szCs w:val="24"/>
        </w:rPr>
        <w:t>擦面抗滑移系数试验，其</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结果应满足设计要求。</w:t>
      </w:r>
    </w:p>
    <w:p w14:paraId="758D7C6A">
      <w:pPr>
        <w:spacing w:before="149" w:line="219" w:lineRule="auto"/>
        <w:ind w:left="485"/>
        <w:rPr>
          <w:rFonts w:ascii="宋体" w:hAnsi="宋体" w:eastAsia="宋体" w:cs="宋体"/>
          <w:sz w:val="24"/>
          <w:szCs w:val="24"/>
        </w:rPr>
      </w:pPr>
      <w:r>
        <w:rPr>
          <w:rFonts w:ascii="宋体" w:hAnsi="宋体" w:eastAsia="宋体" w:cs="宋体"/>
          <w:strike/>
          <w:spacing w:val="-1"/>
          <w:sz w:val="24"/>
          <w:szCs w:val="24"/>
        </w:rPr>
        <w:t>检查数量：按本标准附录</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 xml:space="preserve">B </w:t>
      </w:r>
      <w:r>
        <w:rPr>
          <w:rFonts w:ascii="宋体" w:hAnsi="宋体" w:eastAsia="宋体" w:cs="宋体"/>
          <w:strike/>
          <w:spacing w:val="-1"/>
          <w:sz w:val="24"/>
          <w:szCs w:val="24"/>
        </w:rPr>
        <w:t>执行。</w:t>
      </w:r>
    </w:p>
    <w:p w14:paraId="4D185404">
      <w:pPr>
        <w:spacing w:before="156" w:line="218" w:lineRule="auto"/>
        <w:ind w:left="485"/>
        <w:rPr>
          <w:rFonts w:ascii="宋体" w:hAnsi="宋体" w:eastAsia="宋体" w:cs="宋体"/>
          <w:sz w:val="24"/>
          <w:szCs w:val="24"/>
        </w:rPr>
      </w:pPr>
      <w:r>
        <w:rPr>
          <w:rFonts w:ascii="宋体" w:hAnsi="宋体" w:eastAsia="宋体" w:cs="宋体"/>
          <w:strike/>
          <w:spacing w:val="-1"/>
          <w:sz w:val="24"/>
          <w:szCs w:val="24"/>
        </w:rPr>
        <w:t>检验方法：检查摩擦面抗滑移系数试验报告及复验报告。</w:t>
      </w:r>
    </w:p>
    <w:p w14:paraId="49A5E68C">
      <w:pPr>
        <w:pStyle w:val="2"/>
        <w:spacing w:before="113" w:line="345" w:lineRule="auto"/>
        <w:ind w:left="5" w:right="80"/>
        <w:jc w:val="both"/>
        <w:rPr>
          <w:rFonts w:ascii="宋体" w:hAnsi="宋体" w:eastAsia="宋体" w:cs="宋体"/>
          <w:sz w:val="24"/>
          <w:szCs w:val="24"/>
        </w:rPr>
      </w:pPr>
      <w:r>
        <w:rPr>
          <w:strike/>
          <w:color w:val="202935"/>
          <w:sz w:val="24"/>
          <w:szCs w:val="24"/>
        </w:rPr>
        <w:t xml:space="preserve">8.2.1    </w:t>
      </w:r>
      <w:r>
        <w:rPr>
          <w:rFonts w:ascii="宋体" w:hAnsi="宋体" w:eastAsia="宋体" w:cs="宋体"/>
          <w:strike/>
          <w:color w:val="202935"/>
          <w:sz w:val="24"/>
          <w:szCs w:val="24"/>
        </w:rPr>
        <w:t>钢材、钢部件拼接或对接时所采用的焊缝质量等级应</w:t>
      </w:r>
      <w:r>
        <w:rPr>
          <w:rFonts w:ascii="宋体" w:hAnsi="宋体" w:eastAsia="宋体" w:cs="宋体"/>
          <w:strike/>
          <w:color w:val="202935"/>
          <w:spacing w:val="-1"/>
          <w:sz w:val="24"/>
          <w:szCs w:val="24"/>
        </w:rPr>
        <w:t>满足设计要求。当设计无</w:t>
      </w:r>
      <w:r>
        <w:rPr>
          <w:rFonts w:ascii="宋体" w:hAnsi="宋体" w:eastAsia="宋体" w:cs="宋体"/>
          <w:color w:val="202935"/>
          <w:sz w:val="24"/>
          <w:szCs w:val="24"/>
        </w:rPr>
        <w:t xml:space="preserve"> </w:t>
      </w:r>
      <w:r>
        <w:rPr>
          <w:rFonts w:ascii="宋体" w:hAnsi="宋体" w:eastAsia="宋体" w:cs="宋体"/>
          <w:strike/>
          <w:color w:val="202935"/>
          <w:sz w:val="24"/>
          <w:szCs w:val="24"/>
        </w:rPr>
        <w:t>要求时，应</w:t>
      </w:r>
      <w:r>
        <w:rPr>
          <w:rFonts w:ascii="宋体" w:hAnsi="宋体" w:eastAsia="宋体" w:cs="宋体"/>
          <w:strike/>
          <w:sz w:val="24"/>
          <w:szCs w:val="24"/>
        </w:rPr>
        <w:t>采用</w:t>
      </w:r>
      <w:r>
        <w:rPr>
          <w:rFonts w:ascii="宋体" w:hAnsi="宋体" w:eastAsia="宋体" w:cs="宋体"/>
          <w:strike/>
          <w:color w:val="202935"/>
          <w:sz w:val="24"/>
          <w:szCs w:val="24"/>
        </w:rPr>
        <w:t>质量等级不低于二级的熔透焊缝，对直接</w:t>
      </w:r>
      <w:r>
        <w:rPr>
          <w:rFonts w:ascii="宋体" w:hAnsi="宋体" w:eastAsia="宋体" w:cs="宋体"/>
          <w:strike/>
          <w:color w:val="202935"/>
          <w:spacing w:val="-1"/>
          <w:sz w:val="24"/>
          <w:szCs w:val="24"/>
        </w:rPr>
        <w:t>承受拉力的焊缝，应采用</w:t>
      </w:r>
      <w:r>
        <w:rPr>
          <w:rFonts w:ascii="宋体" w:hAnsi="宋体" w:eastAsia="宋体" w:cs="宋体"/>
          <w:color w:val="202935"/>
          <w:spacing w:val="-1"/>
          <w:sz w:val="24"/>
          <w:szCs w:val="24"/>
        </w:rPr>
        <w:t>一</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级熔透焊缝。</w:t>
      </w:r>
    </w:p>
    <w:p w14:paraId="6F73BE52">
      <w:pPr>
        <w:spacing w:before="173" w:line="220" w:lineRule="auto"/>
        <w:ind w:left="485"/>
        <w:rPr>
          <w:rFonts w:ascii="宋体" w:hAnsi="宋体" w:eastAsia="宋体" w:cs="宋体"/>
          <w:sz w:val="24"/>
          <w:szCs w:val="24"/>
        </w:rPr>
      </w:pPr>
      <w:r>
        <w:rPr>
          <w:rFonts w:ascii="宋体" w:hAnsi="宋体" w:eastAsia="宋体" w:cs="宋体"/>
          <w:strike/>
          <w:spacing w:val="-1"/>
          <w:sz w:val="24"/>
          <w:szCs w:val="24"/>
        </w:rPr>
        <w:t>检查数量：全数检查。</w:t>
      </w:r>
    </w:p>
    <w:p w14:paraId="1149FFEC">
      <w:pPr>
        <w:spacing w:before="153" w:line="218" w:lineRule="auto"/>
        <w:ind w:left="485"/>
        <w:rPr>
          <w:rFonts w:ascii="宋体" w:hAnsi="宋体" w:eastAsia="宋体" w:cs="宋体"/>
          <w:sz w:val="24"/>
          <w:szCs w:val="24"/>
        </w:rPr>
      </w:pPr>
      <w:r>
        <w:rPr>
          <w:rFonts w:ascii="宋体" w:hAnsi="宋体" w:eastAsia="宋体" w:cs="宋体"/>
          <w:strike/>
          <w:spacing w:val="-1"/>
          <w:sz w:val="24"/>
          <w:szCs w:val="24"/>
        </w:rPr>
        <w:t>检验方法：检查超声波探伤报告。</w:t>
      </w:r>
    </w:p>
    <w:p w14:paraId="0005E7AC">
      <w:pPr>
        <w:pStyle w:val="2"/>
        <w:spacing w:before="113" w:line="415" w:lineRule="auto"/>
        <w:ind w:left="485" w:right="26" w:hanging="463"/>
        <w:rPr>
          <w:rFonts w:ascii="宋体" w:hAnsi="宋体" w:eastAsia="宋体" w:cs="宋体"/>
          <w:sz w:val="24"/>
          <w:szCs w:val="24"/>
        </w:rPr>
      </w:pPr>
      <w:r>
        <w:rPr>
          <w:strike/>
          <w:color w:val="202935"/>
          <w:spacing w:val="-1"/>
          <w:sz w:val="24"/>
          <w:szCs w:val="24"/>
        </w:rPr>
        <w:t xml:space="preserve">11.4.1    </w:t>
      </w:r>
      <w:r>
        <w:rPr>
          <w:rFonts w:ascii="宋体" w:hAnsi="宋体" w:eastAsia="宋体" w:cs="宋体"/>
          <w:strike/>
          <w:spacing w:val="-1"/>
          <w:sz w:val="24"/>
          <w:szCs w:val="24"/>
        </w:rPr>
        <w:t>钢管</w:t>
      </w:r>
      <w:r>
        <w:rPr>
          <w:strike/>
          <w:color w:val="202935"/>
          <w:spacing w:val="-1"/>
          <w:sz w:val="24"/>
          <w:szCs w:val="24"/>
        </w:rPr>
        <w:t>(</w:t>
      </w:r>
      <w:r>
        <w:rPr>
          <w:strike/>
          <w:color w:val="202935"/>
          <w:spacing w:val="-34"/>
          <w:sz w:val="24"/>
          <w:szCs w:val="24"/>
        </w:rPr>
        <w:t xml:space="preserve"> </w:t>
      </w:r>
      <w:r>
        <w:rPr>
          <w:rFonts w:ascii="宋体" w:hAnsi="宋体" w:eastAsia="宋体" w:cs="宋体"/>
          <w:strike/>
          <w:color w:val="202935"/>
          <w:spacing w:val="-1"/>
          <w:sz w:val="24"/>
          <w:szCs w:val="24"/>
        </w:rPr>
        <w:t>闭口截面</w:t>
      </w:r>
      <w:r>
        <w:rPr>
          <w:strike/>
          <w:color w:val="202935"/>
          <w:spacing w:val="-1"/>
          <w:sz w:val="24"/>
          <w:szCs w:val="24"/>
        </w:rPr>
        <w:t>)</w:t>
      </w:r>
      <w:r>
        <w:rPr>
          <w:rFonts w:ascii="宋体" w:hAnsi="宋体" w:eastAsia="宋体" w:cs="宋体"/>
          <w:strike/>
          <w:color w:val="202935"/>
          <w:spacing w:val="-1"/>
          <w:sz w:val="24"/>
          <w:szCs w:val="24"/>
        </w:rPr>
        <w:t>构件应有预防管内进水、存</w:t>
      </w:r>
      <w:r>
        <w:rPr>
          <w:rFonts w:ascii="宋体" w:hAnsi="宋体" w:eastAsia="宋体" w:cs="宋体"/>
          <w:strike/>
          <w:color w:val="202935"/>
          <w:spacing w:val="-2"/>
          <w:sz w:val="24"/>
          <w:szCs w:val="24"/>
        </w:rPr>
        <w:t>水的构造措施，严禁钢管内存水。</w:t>
      </w:r>
      <w:r>
        <w:rPr>
          <w:rFonts w:ascii="宋体" w:hAnsi="宋体" w:eastAsia="宋体" w:cs="宋体"/>
          <w:color w:val="202935"/>
          <w:sz w:val="24"/>
          <w:szCs w:val="24"/>
        </w:rPr>
        <w:t xml:space="preserve"> </w:t>
      </w:r>
      <w:r>
        <w:rPr>
          <w:rFonts w:ascii="宋体" w:hAnsi="宋体" w:eastAsia="宋体" w:cs="宋体"/>
          <w:strike/>
          <w:spacing w:val="-1"/>
          <w:sz w:val="24"/>
          <w:szCs w:val="24"/>
        </w:rPr>
        <w:t>检查数量：全数检查。</w:t>
      </w:r>
    </w:p>
    <w:p w14:paraId="3C2D2474">
      <w:pPr>
        <w:spacing w:before="1" w:line="219" w:lineRule="auto"/>
        <w:ind w:left="485"/>
        <w:rPr>
          <w:rFonts w:ascii="宋体" w:hAnsi="宋体" w:eastAsia="宋体" w:cs="宋体"/>
          <w:sz w:val="24"/>
          <w:szCs w:val="24"/>
        </w:rPr>
      </w:pPr>
      <w:r>
        <w:rPr>
          <w:rFonts w:ascii="宋体" w:hAnsi="宋体" w:eastAsia="宋体" w:cs="宋体"/>
          <w:strike/>
          <w:spacing w:val="-1"/>
          <w:sz w:val="24"/>
          <w:szCs w:val="24"/>
        </w:rPr>
        <w:t>检验方法：观察检查。</w:t>
      </w:r>
    </w:p>
    <w:p w14:paraId="1CFE5EDF">
      <w:pPr>
        <w:pStyle w:val="2"/>
        <w:spacing w:before="4" w:line="249" w:lineRule="auto"/>
        <w:ind w:left="7" w:right="81" w:firstLine="14"/>
        <w:rPr>
          <w:rFonts w:ascii="宋体" w:hAnsi="宋体" w:eastAsia="宋体" w:cs="宋体"/>
          <w:sz w:val="24"/>
          <w:szCs w:val="24"/>
        </w:rPr>
      </w:pPr>
      <w:r>
        <w:rPr>
          <w:strike/>
          <w:color w:val="202935"/>
          <w:spacing w:val="-1"/>
          <w:sz w:val="24"/>
          <w:szCs w:val="24"/>
        </w:rPr>
        <w:t xml:space="preserve">13.2.3    </w:t>
      </w:r>
      <w:r>
        <w:rPr>
          <w:rFonts w:ascii="宋体" w:hAnsi="宋体" w:eastAsia="宋体" w:cs="宋体"/>
          <w:strike/>
          <w:color w:val="202935"/>
          <w:spacing w:val="-1"/>
          <w:sz w:val="24"/>
          <w:szCs w:val="24"/>
        </w:rPr>
        <w:t>防腐涂料、涂装遍数、涂装间隔、涂层厚度均应满足设计文件、涂料产品标</w:t>
      </w:r>
      <w:r>
        <w:rPr>
          <w:rFonts w:ascii="宋体" w:hAnsi="宋体" w:eastAsia="宋体" w:cs="宋体"/>
          <w:color w:val="202935"/>
          <w:spacing w:val="7"/>
          <w:sz w:val="24"/>
          <w:szCs w:val="24"/>
        </w:rPr>
        <w:t xml:space="preserve">  </w:t>
      </w:r>
      <w:r>
        <w:rPr>
          <w:rFonts w:ascii="宋体" w:hAnsi="宋体" w:eastAsia="宋体" w:cs="宋体"/>
          <w:strike/>
          <w:color w:val="202935"/>
          <w:spacing w:val="-2"/>
          <w:sz w:val="24"/>
          <w:szCs w:val="24"/>
        </w:rPr>
        <w:t>准的要求。当设计对涂层厚度无要求时，涂层干漆膜总厚度：室外不应小于</w:t>
      </w:r>
      <w:r>
        <w:rPr>
          <w:rFonts w:ascii="宋体" w:hAnsi="宋体" w:eastAsia="宋体" w:cs="宋体"/>
          <w:strike/>
          <w:color w:val="202935"/>
          <w:spacing w:val="-24"/>
          <w:sz w:val="24"/>
          <w:szCs w:val="24"/>
        </w:rPr>
        <w:t xml:space="preserve"> </w:t>
      </w:r>
      <w:r>
        <w:rPr>
          <w:strike/>
          <w:color w:val="202935"/>
          <w:spacing w:val="-2"/>
          <w:sz w:val="24"/>
          <w:szCs w:val="24"/>
        </w:rPr>
        <w:t>150μm</w:t>
      </w:r>
      <w:r>
        <w:rPr>
          <w:strike/>
          <w:color w:val="202935"/>
          <w:spacing w:val="-37"/>
          <w:sz w:val="24"/>
          <w:szCs w:val="24"/>
        </w:rPr>
        <w:t xml:space="preserve"> </w:t>
      </w:r>
      <w:r>
        <w:rPr>
          <w:rFonts w:ascii="宋体" w:hAnsi="宋体" w:eastAsia="宋体" w:cs="宋体"/>
          <w:strike/>
          <w:color w:val="202935"/>
          <w:spacing w:val="-2"/>
          <w:sz w:val="24"/>
          <w:szCs w:val="24"/>
        </w:rPr>
        <w:t>，</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室内不应小于</w:t>
      </w:r>
      <w:r>
        <w:rPr>
          <w:rFonts w:ascii="宋体" w:hAnsi="宋体" w:eastAsia="宋体" w:cs="宋体"/>
          <w:strike/>
          <w:color w:val="202935"/>
          <w:spacing w:val="-26"/>
          <w:sz w:val="24"/>
          <w:szCs w:val="24"/>
        </w:rPr>
        <w:t xml:space="preserve"> </w:t>
      </w:r>
      <w:r>
        <w:rPr>
          <w:strike/>
          <w:color w:val="202935"/>
          <w:spacing w:val="-4"/>
          <w:sz w:val="24"/>
          <w:szCs w:val="24"/>
        </w:rPr>
        <w:t>125μm</w:t>
      </w:r>
      <w:r>
        <w:rPr>
          <w:strike/>
          <w:color w:val="202935"/>
          <w:spacing w:val="-33"/>
          <w:sz w:val="24"/>
          <w:szCs w:val="24"/>
        </w:rPr>
        <w:t xml:space="preserve"> </w:t>
      </w:r>
      <w:r>
        <w:rPr>
          <w:rFonts w:ascii="宋体" w:hAnsi="宋体" w:eastAsia="宋体" w:cs="宋体"/>
          <w:strike/>
          <w:color w:val="202935"/>
          <w:spacing w:val="-4"/>
          <w:sz w:val="24"/>
          <w:szCs w:val="24"/>
        </w:rPr>
        <w:t>。</w:t>
      </w:r>
    </w:p>
    <w:p w14:paraId="46DE6F6D">
      <w:pPr>
        <w:pStyle w:val="2"/>
        <w:spacing w:line="395" w:lineRule="auto"/>
      </w:pPr>
    </w:p>
    <w:p w14:paraId="057F93FF">
      <w:pPr>
        <w:spacing w:before="78" w:line="220" w:lineRule="auto"/>
        <w:ind w:left="485"/>
        <w:rPr>
          <w:rFonts w:ascii="宋体" w:hAnsi="宋体" w:eastAsia="宋体" w:cs="宋体"/>
          <w:sz w:val="24"/>
          <w:szCs w:val="24"/>
        </w:rPr>
      </w:pPr>
      <w:r>
        <w:rPr>
          <w:rFonts w:ascii="宋体" w:hAnsi="宋体" w:eastAsia="宋体" w:cs="宋体"/>
          <w:strike/>
          <w:spacing w:val="-2"/>
          <w:sz w:val="24"/>
          <w:szCs w:val="24"/>
        </w:rPr>
        <w:t>检查数量：按照构件数抽查</w:t>
      </w:r>
      <w:r>
        <w:rPr>
          <w:rFonts w:ascii="宋体" w:hAnsi="宋体" w:eastAsia="宋体" w:cs="宋体"/>
          <w:strike/>
          <w:spacing w:val="-31"/>
          <w:sz w:val="24"/>
          <w:szCs w:val="24"/>
        </w:rPr>
        <w:t xml:space="preserve"> </w:t>
      </w:r>
      <w:r>
        <w:rPr>
          <w:rFonts w:ascii="Times New Roman" w:hAnsi="Times New Roman" w:eastAsia="Times New Roman" w:cs="Times New Roman"/>
          <w:strike/>
          <w:spacing w:val="-2"/>
          <w:sz w:val="24"/>
          <w:szCs w:val="24"/>
        </w:rPr>
        <w:t>10</w:t>
      </w:r>
      <w:r>
        <w:rPr>
          <w:rFonts w:ascii="宋体" w:hAnsi="宋体" w:eastAsia="宋体" w:cs="宋体"/>
          <w:strike/>
          <w:spacing w:val="-2"/>
          <w:sz w:val="24"/>
          <w:szCs w:val="24"/>
        </w:rPr>
        <w:t>％，且同类构件不应少于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2"/>
          <w:sz w:val="24"/>
          <w:szCs w:val="24"/>
        </w:rPr>
        <w:t xml:space="preserve">3 </w:t>
      </w:r>
      <w:r>
        <w:rPr>
          <w:rFonts w:ascii="宋体" w:hAnsi="宋体" w:eastAsia="宋体" w:cs="宋体"/>
          <w:strike/>
          <w:spacing w:val="-3"/>
          <w:sz w:val="24"/>
          <w:szCs w:val="24"/>
        </w:rPr>
        <w:t>件。</w:t>
      </w:r>
    </w:p>
    <w:p w14:paraId="6758BDFE">
      <w:pPr>
        <w:spacing w:before="153" w:line="339" w:lineRule="auto"/>
        <w:ind w:left="7" w:right="400" w:firstLine="477"/>
        <w:rPr>
          <w:rFonts w:ascii="宋体" w:hAnsi="宋体" w:eastAsia="宋体" w:cs="宋体"/>
          <w:sz w:val="24"/>
          <w:szCs w:val="24"/>
        </w:rPr>
      </w:pPr>
      <w:r>
        <w:rPr>
          <w:rFonts w:ascii="宋体" w:hAnsi="宋体" w:eastAsia="宋体" w:cs="宋体"/>
          <w:strike/>
          <w:spacing w:val="-1"/>
          <w:sz w:val="24"/>
          <w:szCs w:val="24"/>
        </w:rPr>
        <w:t>检验方法：用干漆膜测厚仪检查。每个构件检测</w:t>
      </w:r>
      <w:r>
        <w:rPr>
          <w:rFonts w:ascii="宋体" w:hAnsi="宋体" w:eastAsia="宋体" w:cs="宋体"/>
          <w:strike/>
          <w:spacing w:val="-45"/>
          <w:sz w:val="24"/>
          <w:szCs w:val="24"/>
        </w:rPr>
        <w:t xml:space="preserve"> </w:t>
      </w: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处，每处的数值为</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个相距</w:t>
      </w:r>
      <w:r>
        <w:rPr>
          <w:rFonts w:ascii="宋体" w:hAnsi="宋体" w:eastAsia="宋体" w:cs="宋体"/>
          <w:sz w:val="24"/>
          <w:szCs w:val="24"/>
        </w:rPr>
        <w:t xml:space="preserve"> </w:t>
      </w:r>
      <w:r>
        <w:rPr>
          <w:rFonts w:ascii="Times New Roman" w:hAnsi="Times New Roman" w:eastAsia="Times New Roman" w:cs="Times New Roman"/>
          <w:strike/>
          <w:sz w:val="24"/>
          <w:szCs w:val="24"/>
        </w:rPr>
        <w:t xml:space="preserve">50mm </w:t>
      </w:r>
      <w:r>
        <w:rPr>
          <w:rFonts w:ascii="宋体" w:hAnsi="宋体" w:eastAsia="宋体" w:cs="宋体"/>
          <w:strike/>
          <w:sz w:val="24"/>
          <w:szCs w:val="24"/>
        </w:rPr>
        <w:t>测点涂层干漆膜厚度的平均值。漆膜厚度</w:t>
      </w:r>
      <w:r>
        <w:rPr>
          <w:rFonts w:ascii="宋体" w:hAnsi="宋体" w:eastAsia="宋体" w:cs="宋体"/>
          <w:strike/>
          <w:spacing w:val="-1"/>
          <w:sz w:val="24"/>
          <w:szCs w:val="24"/>
        </w:rPr>
        <w:t>的允许偏差应为</w:t>
      </w:r>
      <w:r>
        <w:rPr>
          <w:rFonts w:ascii="Times New Roman" w:hAnsi="Times New Roman" w:eastAsia="Times New Roman" w:cs="Times New Roman"/>
          <w:strike/>
          <w:spacing w:val="-1"/>
          <w:sz w:val="24"/>
          <w:szCs w:val="24"/>
        </w:rPr>
        <w:t>—25μm</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698DE15A">
      <w:pPr>
        <w:spacing w:before="3" w:line="336" w:lineRule="auto"/>
        <w:ind w:left="5" w:right="120" w:firstLine="18"/>
        <w:jc w:val="both"/>
        <w:rPr>
          <w:rFonts w:ascii="宋体" w:hAnsi="宋体" w:eastAsia="宋体" w:cs="宋体"/>
          <w:sz w:val="24"/>
          <w:szCs w:val="24"/>
        </w:rPr>
      </w:pPr>
      <w:r>
        <w:rPr>
          <w:rFonts w:ascii="Times New Roman" w:hAnsi="Times New Roman" w:eastAsia="Times New Roman" w:cs="Times New Roman"/>
          <w:strike/>
          <w:spacing w:val="-1"/>
          <w:sz w:val="24"/>
          <w:szCs w:val="24"/>
        </w:rPr>
        <w:t xml:space="preserve">13.4.3    </w:t>
      </w:r>
      <w:r>
        <w:rPr>
          <w:rFonts w:ascii="宋体" w:hAnsi="宋体" w:eastAsia="宋体" w:cs="宋体"/>
          <w:strike/>
          <w:spacing w:val="-1"/>
          <w:sz w:val="24"/>
          <w:szCs w:val="24"/>
        </w:rPr>
        <w:t>膨胀型</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超薄型、薄涂型</w:t>
      </w:r>
      <w:r>
        <w:rPr>
          <w:rFonts w:ascii="Times New Roman" w:hAnsi="Times New Roman" w:eastAsia="Times New Roman" w:cs="Times New Roman"/>
          <w:strike/>
          <w:spacing w:val="-1"/>
          <w:sz w:val="24"/>
          <w:szCs w:val="24"/>
        </w:rPr>
        <w:t>)</w:t>
      </w:r>
      <w:r>
        <w:rPr>
          <w:rFonts w:ascii="Times New Roman" w:hAnsi="Times New Roman" w:eastAsia="Times New Roman" w:cs="Times New Roman"/>
          <w:strike/>
          <w:spacing w:val="-35"/>
          <w:sz w:val="24"/>
          <w:szCs w:val="24"/>
        </w:rPr>
        <w:t xml:space="preserve"> </w:t>
      </w:r>
      <w:r>
        <w:rPr>
          <w:rFonts w:ascii="宋体" w:hAnsi="宋体" w:eastAsia="宋体" w:cs="宋体"/>
          <w:strike/>
          <w:spacing w:val="-1"/>
          <w:sz w:val="24"/>
          <w:szCs w:val="24"/>
        </w:rPr>
        <w:t>防火涂料、厚涂型防火涂料的涂</w:t>
      </w:r>
      <w:r>
        <w:rPr>
          <w:rFonts w:ascii="宋体" w:hAnsi="宋体" w:eastAsia="宋体" w:cs="宋体"/>
          <w:strike/>
          <w:spacing w:val="-2"/>
          <w:sz w:val="24"/>
          <w:szCs w:val="24"/>
        </w:rPr>
        <w:t>层厚度及隔热性能应</w:t>
      </w:r>
      <w:r>
        <w:rPr>
          <w:rFonts w:ascii="宋体" w:hAnsi="宋体" w:eastAsia="宋体" w:cs="宋体"/>
          <w:sz w:val="24"/>
          <w:szCs w:val="24"/>
        </w:rPr>
        <w:t xml:space="preserve"> </w:t>
      </w:r>
      <w:r>
        <w:rPr>
          <w:rFonts w:ascii="宋体" w:hAnsi="宋体" w:eastAsia="宋体" w:cs="宋体"/>
          <w:strike/>
          <w:spacing w:val="-1"/>
          <w:sz w:val="24"/>
          <w:szCs w:val="24"/>
        </w:rPr>
        <w:t>满足国家现行标准有关耐火极限的要求，且不应小于</w:t>
      </w:r>
      <w:r>
        <w:rPr>
          <w:rFonts w:ascii="Times New Roman" w:hAnsi="Times New Roman" w:eastAsia="Times New Roman" w:cs="Times New Roman"/>
          <w:strike/>
          <w:spacing w:val="-1"/>
          <w:sz w:val="24"/>
          <w:szCs w:val="24"/>
        </w:rPr>
        <w:t>—200μm</w:t>
      </w:r>
      <w:r>
        <w:rPr>
          <w:rFonts w:ascii="宋体" w:hAnsi="宋体" w:eastAsia="宋体" w:cs="宋体"/>
          <w:strike/>
          <w:spacing w:val="-1"/>
          <w:sz w:val="24"/>
          <w:szCs w:val="24"/>
        </w:rPr>
        <w:t>。当采用厚涂型防火涂</w:t>
      </w:r>
      <w:r>
        <w:rPr>
          <w:rFonts w:ascii="宋体" w:hAnsi="宋体" w:eastAsia="宋体" w:cs="宋体"/>
          <w:spacing w:val="15"/>
          <w:sz w:val="24"/>
          <w:szCs w:val="24"/>
        </w:rPr>
        <w:t xml:space="preserve"> </w:t>
      </w:r>
      <w:r>
        <w:rPr>
          <w:rFonts w:ascii="宋体" w:hAnsi="宋体" w:eastAsia="宋体" w:cs="宋体"/>
          <w:strike/>
          <w:spacing w:val="-1"/>
          <w:sz w:val="24"/>
          <w:szCs w:val="24"/>
        </w:rPr>
        <w:t>料涂装时，</w:t>
      </w:r>
      <w:r>
        <w:rPr>
          <w:rFonts w:ascii="Times New Roman" w:hAnsi="Times New Roman" w:eastAsia="Times New Roman" w:cs="Times New Roman"/>
          <w:strike/>
          <w:spacing w:val="-1"/>
          <w:sz w:val="24"/>
          <w:szCs w:val="24"/>
        </w:rPr>
        <w:t>80</w:t>
      </w:r>
      <w:r>
        <w:rPr>
          <w:rFonts w:ascii="宋体" w:hAnsi="宋体" w:eastAsia="宋体" w:cs="宋体"/>
          <w:strike/>
          <w:spacing w:val="-1"/>
          <w:sz w:val="24"/>
          <w:szCs w:val="24"/>
        </w:rPr>
        <w:t>％及以上涂层面积应满足国家现行标准有关耐火极限的要求，且最薄处</w:t>
      </w:r>
      <w:r>
        <w:rPr>
          <w:rFonts w:ascii="宋体" w:hAnsi="宋体" w:eastAsia="宋体" w:cs="宋体"/>
          <w:spacing w:val="17"/>
          <w:sz w:val="24"/>
          <w:szCs w:val="24"/>
        </w:rPr>
        <w:t xml:space="preserve"> </w:t>
      </w:r>
      <w:r>
        <w:rPr>
          <w:rFonts w:ascii="宋体" w:hAnsi="宋体" w:eastAsia="宋体" w:cs="宋体"/>
          <w:strike/>
          <w:spacing w:val="-2"/>
          <w:sz w:val="24"/>
          <w:szCs w:val="24"/>
        </w:rPr>
        <w:t>厚度不应低于设计要求的</w:t>
      </w:r>
      <w:r>
        <w:rPr>
          <w:rFonts w:ascii="宋体" w:hAnsi="宋体" w:eastAsia="宋体" w:cs="宋体"/>
          <w:strike/>
          <w:spacing w:val="-41"/>
          <w:sz w:val="24"/>
          <w:szCs w:val="24"/>
        </w:rPr>
        <w:t xml:space="preserve"> </w:t>
      </w:r>
      <w:r>
        <w:rPr>
          <w:rFonts w:ascii="Times New Roman" w:hAnsi="Times New Roman" w:eastAsia="Times New Roman" w:cs="Times New Roman"/>
          <w:strike/>
          <w:spacing w:val="-2"/>
          <w:sz w:val="24"/>
          <w:szCs w:val="24"/>
        </w:rPr>
        <w:t>85</w:t>
      </w:r>
      <w:r>
        <w:rPr>
          <w:rFonts w:ascii="宋体" w:hAnsi="宋体" w:eastAsia="宋体" w:cs="宋体"/>
          <w:strike/>
          <w:spacing w:val="-2"/>
          <w:sz w:val="24"/>
          <w:szCs w:val="24"/>
        </w:rPr>
        <w:t>％。</w:t>
      </w:r>
    </w:p>
    <w:p w14:paraId="1D228EF5">
      <w:pPr>
        <w:spacing w:before="164" w:line="220" w:lineRule="auto"/>
        <w:ind w:left="485"/>
        <w:rPr>
          <w:rFonts w:ascii="宋体" w:hAnsi="宋体" w:eastAsia="宋体" w:cs="宋体"/>
          <w:sz w:val="24"/>
          <w:szCs w:val="24"/>
        </w:rPr>
      </w:pPr>
      <w:r>
        <w:rPr>
          <w:rFonts w:ascii="宋体" w:hAnsi="宋体" w:eastAsia="宋体" w:cs="宋体"/>
          <w:strike/>
          <w:spacing w:val="-2"/>
          <w:sz w:val="24"/>
          <w:szCs w:val="24"/>
        </w:rPr>
        <w:t>检查数量：按照构件数抽查</w:t>
      </w:r>
      <w:r>
        <w:rPr>
          <w:rFonts w:ascii="宋体" w:hAnsi="宋体" w:eastAsia="宋体" w:cs="宋体"/>
          <w:strike/>
          <w:spacing w:val="-31"/>
          <w:sz w:val="24"/>
          <w:szCs w:val="24"/>
        </w:rPr>
        <w:t xml:space="preserve"> </w:t>
      </w:r>
      <w:r>
        <w:rPr>
          <w:rFonts w:ascii="Times New Roman" w:hAnsi="Times New Roman" w:eastAsia="Times New Roman" w:cs="Times New Roman"/>
          <w:strike/>
          <w:spacing w:val="-2"/>
          <w:sz w:val="24"/>
          <w:szCs w:val="24"/>
        </w:rPr>
        <w:t>10</w:t>
      </w:r>
      <w:r>
        <w:rPr>
          <w:rFonts w:ascii="宋体" w:hAnsi="宋体" w:eastAsia="宋体" w:cs="宋体"/>
          <w:strike/>
          <w:spacing w:val="-2"/>
          <w:sz w:val="24"/>
          <w:szCs w:val="24"/>
        </w:rPr>
        <w:t>％，且同类构件不应少于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2"/>
          <w:sz w:val="24"/>
          <w:szCs w:val="24"/>
        </w:rPr>
        <w:t xml:space="preserve">3 </w:t>
      </w:r>
      <w:r>
        <w:rPr>
          <w:rFonts w:ascii="宋体" w:hAnsi="宋体" w:eastAsia="宋体" w:cs="宋体"/>
          <w:strike/>
          <w:spacing w:val="-3"/>
          <w:sz w:val="24"/>
          <w:szCs w:val="24"/>
        </w:rPr>
        <w:t>件。</w:t>
      </w:r>
    </w:p>
    <w:p w14:paraId="7BB57524">
      <w:pPr>
        <w:spacing w:before="156" w:line="331" w:lineRule="auto"/>
        <w:ind w:left="5" w:firstLine="480"/>
        <w:rPr>
          <w:rFonts w:ascii="宋体" w:hAnsi="宋体" w:eastAsia="宋体" w:cs="宋体"/>
          <w:sz w:val="24"/>
          <w:szCs w:val="24"/>
        </w:rPr>
      </w:pPr>
      <w:r>
        <w:rPr>
          <w:rFonts w:ascii="宋体" w:hAnsi="宋体" w:eastAsia="宋体" w:cs="宋体"/>
          <w:strike/>
          <w:spacing w:val="-1"/>
          <w:sz w:val="24"/>
          <w:szCs w:val="24"/>
        </w:rPr>
        <w:t>检验方法：膨胀型</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超薄型、薄涂型</w:t>
      </w:r>
      <w:r>
        <w:rPr>
          <w:rFonts w:ascii="Times New Roman" w:hAnsi="Times New Roman" w:eastAsia="Times New Roman" w:cs="Times New Roman"/>
          <w:strike/>
          <w:spacing w:val="-1"/>
          <w:sz w:val="24"/>
          <w:szCs w:val="24"/>
        </w:rPr>
        <w:t>)</w:t>
      </w:r>
      <w:r>
        <w:rPr>
          <w:rFonts w:ascii="Times New Roman" w:hAnsi="Times New Roman" w:eastAsia="Times New Roman" w:cs="Times New Roman"/>
          <w:strike/>
          <w:spacing w:val="-33"/>
          <w:sz w:val="24"/>
          <w:szCs w:val="24"/>
        </w:rPr>
        <w:t xml:space="preserve"> </w:t>
      </w:r>
      <w:r>
        <w:rPr>
          <w:rFonts w:ascii="宋体" w:hAnsi="宋体" w:eastAsia="宋体" w:cs="宋体"/>
          <w:strike/>
          <w:spacing w:val="-1"/>
          <w:sz w:val="24"/>
          <w:szCs w:val="24"/>
        </w:rPr>
        <w:t>防火涂料采用涂层厚度测量仪，涂层厚度允许</w:t>
      </w:r>
      <w:r>
        <w:rPr>
          <w:rFonts w:ascii="宋体" w:hAnsi="宋体" w:eastAsia="宋体" w:cs="宋体"/>
          <w:sz w:val="24"/>
          <w:szCs w:val="24"/>
        </w:rPr>
        <w:t xml:space="preserve"> </w:t>
      </w:r>
      <w:r>
        <w:rPr>
          <w:rFonts w:ascii="宋体" w:hAnsi="宋体" w:eastAsia="宋体" w:cs="宋体"/>
          <w:strike/>
          <w:spacing w:val="-2"/>
          <w:sz w:val="24"/>
          <w:szCs w:val="24"/>
        </w:rPr>
        <w:t>偏差应为</w:t>
      </w:r>
      <w:r>
        <w:rPr>
          <w:rFonts w:ascii="Times New Roman" w:hAnsi="Times New Roman" w:eastAsia="Times New Roman" w:cs="Times New Roman"/>
          <w:strike/>
          <w:spacing w:val="-2"/>
          <w:sz w:val="24"/>
          <w:szCs w:val="24"/>
        </w:rPr>
        <w:t>—5</w:t>
      </w:r>
      <w:r>
        <w:rPr>
          <w:rFonts w:ascii="宋体" w:hAnsi="宋体" w:eastAsia="宋体" w:cs="宋体"/>
          <w:strike/>
          <w:spacing w:val="-2"/>
          <w:sz w:val="24"/>
          <w:szCs w:val="24"/>
        </w:rPr>
        <w:t>％。厚涂型防火涂料的涂层厚度采用本标准附录</w:t>
      </w:r>
      <w:r>
        <w:rPr>
          <w:rFonts w:ascii="宋体" w:hAnsi="宋体" w:eastAsia="宋体" w:cs="宋体"/>
          <w:strike/>
          <w:spacing w:val="-27"/>
          <w:sz w:val="24"/>
          <w:szCs w:val="24"/>
        </w:rPr>
        <w:t xml:space="preserve"> </w:t>
      </w:r>
      <w:r>
        <w:rPr>
          <w:rFonts w:ascii="Times New Roman" w:hAnsi="Times New Roman" w:eastAsia="Times New Roman" w:cs="Times New Roman"/>
          <w:strike/>
          <w:spacing w:val="-2"/>
          <w:sz w:val="24"/>
          <w:szCs w:val="24"/>
        </w:rPr>
        <w:t>E</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的方法检测。</w:t>
      </w:r>
    </w:p>
    <w:p w14:paraId="139D46B2">
      <w:pPr>
        <w:spacing w:before="66" w:line="226" w:lineRule="auto"/>
        <w:ind w:left="5"/>
        <w:outlineLvl w:val="1"/>
        <w:rPr>
          <w:rFonts w:ascii="宋体" w:hAnsi="宋体" w:eastAsia="宋体" w:cs="宋体"/>
          <w:sz w:val="27"/>
          <w:szCs w:val="27"/>
        </w:rPr>
      </w:pPr>
      <w:bookmarkStart w:id="22" w:name="bookmark71"/>
      <w:bookmarkEnd w:id="22"/>
      <w:r>
        <w:rPr>
          <w:rFonts w:ascii="Times New Roman" w:hAnsi="Times New Roman" w:eastAsia="Times New Roman" w:cs="Times New Roman"/>
          <w:b/>
          <w:bCs/>
          <w:spacing w:val="6"/>
          <w:sz w:val="27"/>
          <w:szCs w:val="27"/>
        </w:rPr>
        <w:t>7.</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50206-2012  </w:t>
      </w:r>
      <w:r>
        <w:rPr>
          <w:rFonts w:ascii="宋体" w:hAnsi="宋体" w:eastAsia="宋体" w:cs="宋体"/>
          <w:b/>
          <w:bCs/>
          <w:spacing w:val="6"/>
          <w:sz w:val="27"/>
          <w:szCs w:val="27"/>
        </w:rPr>
        <w:t>木结构工程施工质量验收规范【强条已废】</w:t>
      </w:r>
    </w:p>
    <w:p w14:paraId="1303CDF9">
      <w:pPr>
        <w:spacing w:before="141" w:line="373" w:lineRule="auto"/>
        <w:ind w:left="32"/>
        <w:rPr>
          <w:rFonts w:ascii="宋体" w:hAnsi="宋体" w:eastAsia="宋体" w:cs="宋体"/>
          <w:sz w:val="24"/>
          <w:szCs w:val="24"/>
        </w:rPr>
      </w:pPr>
      <w:r>
        <w:rPr>
          <w:rFonts w:ascii="宋体" w:hAnsi="宋体" w:eastAsia="宋体" w:cs="宋体"/>
          <w:b/>
          <w:bCs/>
          <w:color w:val="EE0000"/>
          <w:sz w:val="24"/>
          <w:szCs w:val="24"/>
        </w:rPr>
        <w:t>以下条目已被</w:t>
      </w:r>
      <w:r>
        <w:rPr>
          <w:rFonts w:ascii="Times New Roman" w:hAnsi="Times New Roman" w:eastAsia="Times New Roman" w:cs="Times New Roman"/>
          <w:b/>
          <w:bCs/>
          <w:color w:val="EE0000"/>
          <w:sz w:val="24"/>
          <w:szCs w:val="24"/>
          <w:u w:val="single" w:color="auto"/>
        </w:rPr>
        <w:t xml:space="preserve">GB55005-2021 </w:t>
      </w:r>
      <w:r>
        <w:rPr>
          <w:rFonts w:ascii="宋体" w:hAnsi="宋体" w:eastAsia="宋体" w:cs="宋体"/>
          <w:b/>
          <w:bCs/>
          <w:color w:val="EE0000"/>
          <w:sz w:val="24"/>
          <w:szCs w:val="24"/>
          <w:u w:val="single" w:color="auto"/>
        </w:rPr>
        <w:t>木结构通用规范</w:t>
      </w:r>
      <w:r>
        <w:rPr>
          <w:rFonts w:ascii="宋体" w:hAnsi="宋体" w:eastAsia="宋体" w:cs="宋体"/>
          <w:b/>
          <w:bCs/>
          <w:color w:val="EE0000"/>
          <w:spacing w:val="-1"/>
          <w:sz w:val="24"/>
          <w:szCs w:val="24"/>
        </w:rPr>
        <w:t>替代</w:t>
      </w:r>
    </w:p>
    <w:p w14:paraId="7E6678E5">
      <w:pPr>
        <w:spacing w:before="100"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4.2.1    </w:t>
      </w:r>
      <w:r>
        <w:rPr>
          <w:rFonts w:ascii="宋体" w:hAnsi="宋体" w:eastAsia="宋体" w:cs="宋体"/>
          <w:strike/>
          <w:sz w:val="24"/>
          <w:szCs w:val="24"/>
        </w:rPr>
        <w:t>方木、原木结构的形式、结构布置和构件尺寸，应符合设计文</w:t>
      </w:r>
      <w:r>
        <w:rPr>
          <w:rFonts w:ascii="宋体" w:hAnsi="宋体" w:eastAsia="宋体" w:cs="宋体"/>
          <w:strike/>
          <w:spacing w:val="-1"/>
          <w:sz w:val="24"/>
          <w:szCs w:val="24"/>
        </w:rPr>
        <w:t>件的规定。</w:t>
      </w:r>
    </w:p>
    <w:p w14:paraId="36CC5FB1">
      <w:pPr>
        <w:spacing w:before="155" w:line="220"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797C0815">
      <w:pPr>
        <w:spacing w:before="155"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4.2.2    </w:t>
      </w:r>
      <w:r>
        <w:rPr>
          <w:rFonts w:ascii="宋体" w:hAnsi="宋体" w:eastAsia="宋体" w:cs="宋体"/>
          <w:strike/>
          <w:sz w:val="24"/>
          <w:szCs w:val="24"/>
        </w:rPr>
        <w:t>结构用木材应符合设计文件的规定，并应具有产品质量</w:t>
      </w:r>
      <w:r>
        <w:rPr>
          <w:rFonts w:ascii="宋体" w:hAnsi="宋体" w:eastAsia="宋体" w:cs="宋体"/>
          <w:strike/>
          <w:spacing w:val="-1"/>
          <w:sz w:val="24"/>
          <w:szCs w:val="24"/>
        </w:rPr>
        <w:t>合格证书。</w:t>
      </w:r>
    </w:p>
    <w:p w14:paraId="2827DF42">
      <w:pPr>
        <w:spacing w:line="219" w:lineRule="auto"/>
        <w:rPr>
          <w:rFonts w:ascii="宋体" w:hAnsi="宋体" w:eastAsia="宋体" w:cs="宋体"/>
          <w:sz w:val="24"/>
          <w:szCs w:val="24"/>
        </w:rPr>
        <w:sectPr>
          <w:footerReference r:id="rId22" w:type="default"/>
          <w:pgSz w:w="11907" w:h="16839"/>
          <w:pgMar w:top="400" w:right="1448" w:bottom="743" w:left="1421" w:header="0" w:footer="582" w:gutter="0"/>
          <w:cols w:space="720" w:num="1"/>
        </w:sectPr>
      </w:pPr>
    </w:p>
    <w:p w14:paraId="29298B9A">
      <w:pPr>
        <w:pStyle w:val="2"/>
        <w:spacing w:line="303" w:lineRule="auto"/>
      </w:pPr>
    </w:p>
    <w:p w14:paraId="0A0D8390">
      <w:pPr>
        <w:pStyle w:val="2"/>
        <w:spacing w:line="303" w:lineRule="auto"/>
      </w:pPr>
    </w:p>
    <w:p w14:paraId="4EE0B806">
      <w:pPr>
        <w:pStyle w:val="2"/>
        <w:spacing w:line="303" w:lineRule="auto"/>
      </w:pPr>
    </w:p>
    <w:p w14:paraId="3C9430ED">
      <w:pPr>
        <w:spacing w:before="78" w:line="220"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5C479984">
      <w:pPr>
        <w:spacing w:before="155" w:line="338" w:lineRule="auto"/>
        <w:ind w:left="25" w:hanging="25"/>
        <w:rPr>
          <w:rFonts w:ascii="宋体" w:hAnsi="宋体" w:eastAsia="宋体" w:cs="宋体"/>
          <w:sz w:val="24"/>
          <w:szCs w:val="24"/>
        </w:rPr>
      </w:pPr>
      <w:r>
        <w:rPr>
          <w:rFonts w:ascii="Times New Roman" w:hAnsi="Times New Roman" w:eastAsia="Times New Roman" w:cs="Times New Roman"/>
          <w:strike/>
          <w:sz w:val="24"/>
          <w:szCs w:val="24"/>
        </w:rPr>
        <w:t xml:space="preserve">4.2.12    </w:t>
      </w:r>
      <w:r>
        <w:rPr>
          <w:rFonts w:ascii="宋体" w:hAnsi="宋体" w:eastAsia="宋体" w:cs="宋体"/>
          <w:strike/>
          <w:sz w:val="24"/>
          <w:szCs w:val="24"/>
        </w:rPr>
        <w:t>钉连接、螺栓连接节点的连接件（钉、螺栓）的规格、数量，应符</w:t>
      </w:r>
      <w:r>
        <w:rPr>
          <w:rFonts w:ascii="宋体" w:hAnsi="宋体" w:eastAsia="宋体" w:cs="宋体"/>
          <w:strike/>
          <w:spacing w:val="-1"/>
          <w:sz w:val="24"/>
          <w:szCs w:val="24"/>
        </w:rPr>
        <w:t>合设计文件</w:t>
      </w:r>
      <w:r>
        <w:rPr>
          <w:rFonts w:ascii="宋体" w:hAnsi="宋体" w:eastAsia="宋体" w:cs="宋体"/>
          <w:sz w:val="24"/>
          <w:szCs w:val="24"/>
        </w:rPr>
        <w:t xml:space="preserve"> </w:t>
      </w:r>
      <w:r>
        <w:rPr>
          <w:rFonts w:ascii="宋体" w:hAnsi="宋体" w:eastAsia="宋体" w:cs="宋体"/>
          <w:strike/>
          <w:spacing w:val="-6"/>
          <w:sz w:val="24"/>
          <w:szCs w:val="24"/>
        </w:rPr>
        <w:t>的规定。</w:t>
      </w:r>
    </w:p>
    <w:p w14:paraId="39207BE9">
      <w:pPr>
        <w:spacing w:line="219"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0F8B2ED7">
      <w:pPr>
        <w:spacing w:before="154" w:line="279" w:lineRule="auto"/>
        <w:ind w:left="484" w:right="120" w:hanging="477"/>
        <w:rPr>
          <w:rFonts w:ascii="宋体" w:hAnsi="宋体" w:eastAsia="宋体" w:cs="宋体"/>
          <w:sz w:val="24"/>
          <w:szCs w:val="24"/>
        </w:rPr>
      </w:pPr>
      <w:r>
        <w:rPr>
          <w:rFonts w:ascii="Times New Roman" w:hAnsi="Times New Roman" w:eastAsia="Times New Roman" w:cs="Times New Roman"/>
          <w:strike/>
          <w:sz w:val="24"/>
          <w:szCs w:val="24"/>
        </w:rPr>
        <w:t xml:space="preserve">5.2.1    </w:t>
      </w:r>
      <w:r>
        <w:rPr>
          <w:rFonts w:ascii="宋体" w:hAnsi="宋体" w:eastAsia="宋体" w:cs="宋体"/>
          <w:strike/>
          <w:sz w:val="24"/>
          <w:szCs w:val="24"/>
        </w:rPr>
        <w:t>胶合木结构的结构形式、结构布置和构件截面尺</w:t>
      </w:r>
      <w:r>
        <w:rPr>
          <w:rFonts w:ascii="宋体" w:hAnsi="宋体" w:eastAsia="宋体" w:cs="宋体"/>
          <w:strike/>
          <w:spacing w:val="-1"/>
          <w:sz w:val="24"/>
          <w:szCs w:val="24"/>
        </w:rPr>
        <w:t>寸，应符合设计文件的规定。</w:t>
      </w:r>
      <w:r>
        <w:rPr>
          <w:rFonts w:ascii="宋体" w:hAnsi="宋体" w:eastAsia="宋体" w:cs="宋体"/>
          <w:sz w:val="24"/>
          <w:szCs w:val="24"/>
        </w:rPr>
        <w:t xml:space="preserve"> </w:t>
      </w:r>
      <w:r>
        <w:rPr>
          <w:rFonts w:ascii="宋体" w:hAnsi="宋体" w:eastAsia="宋体" w:cs="宋体"/>
          <w:strike/>
          <w:spacing w:val="-1"/>
          <w:sz w:val="24"/>
          <w:szCs w:val="24"/>
        </w:rPr>
        <w:t>检查数量：检验批全数。</w:t>
      </w:r>
    </w:p>
    <w:p w14:paraId="5EA38CB3">
      <w:pPr>
        <w:spacing w:before="156" w:line="298" w:lineRule="auto"/>
        <w:ind w:left="5" w:right="120" w:firstLine="2"/>
        <w:rPr>
          <w:rFonts w:ascii="宋体" w:hAnsi="宋体" w:eastAsia="宋体" w:cs="宋体"/>
          <w:sz w:val="24"/>
          <w:szCs w:val="24"/>
        </w:rPr>
      </w:pPr>
      <w:r>
        <w:rPr>
          <w:rFonts w:ascii="Times New Roman" w:hAnsi="Times New Roman" w:eastAsia="Times New Roman" w:cs="Times New Roman"/>
          <w:strike/>
          <w:sz w:val="24"/>
          <w:szCs w:val="24"/>
        </w:rPr>
        <w:t xml:space="preserve">5.2.2    </w:t>
      </w:r>
      <w:r>
        <w:rPr>
          <w:rFonts w:ascii="宋体" w:hAnsi="宋体" w:eastAsia="宋体" w:cs="宋体"/>
          <w:strike/>
          <w:sz w:val="24"/>
          <w:szCs w:val="24"/>
        </w:rPr>
        <w:t>结构用层板胶合木的类别、强度等级和组坯方式</w:t>
      </w:r>
      <w:r>
        <w:rPr>
          <w:rFonts w:ascii="宋体" w:hAnsi="宋体" w:eastAsia="宋体" w:cs="宋体"/>
          <w:strike/>
          <w:spacing w:val="-1"/>
          <w:sz w:val="24"/>
          <w:szCs w:val="24"/>
        </w:rPr>
        <w:t>，应符合设计文件的规定，并</w:t>
      </w:r>
      <w:r>
        <w:rPr>
          <w:rFonts w:ascii="宋体" w:hAnsi="宋体" w:eastAsia="宋体" w:cs="宋体"/>
          <w:sz w:val="24"/>
          <w:szCs w:val="24"/>
        </w:rPr>
        <w:t xml:space="preserve"> </w:t>
      </w:r>
      <w:r>
        <w:rPr>
          <w:rFonts w:ascii="宋体" w:hAnsi="宋体" w:eastAsia="宋体" w:cs="宋体"/>
          <w:strike/>
          <w:sz w:val="24"/>
          <w:szCs w:val="24"/>
        </w:rPr>
        <w:t>应有产品质量合格证书和产品标识，同时应有满足产品标准</w:t>
      </w:r>
      <w:r>
        <w:rPr>
          <w:rFonts w:ascii="宋体" w:hAnsi="宋体" w:eastAsia="宋体" w:cs="宋体"/>
          <w:strike/>
          <w:spacing w:val="-1"/>
          <w:sz w:val="24"/>
          <w:szCs w:val="24"/>
        </w:rPr>
        <w:t>规定的胶缝完整性检验和</w:t>
      </w:r>
      <w:r>
        <w:rPr>
          <w:rFonts w:ascii="宋体" w:hAnsi="宋体" w:eastAsia="宋体" w:cs="宋体"/>
          <w:sz w:val="24"/>
          <w:szCs w:val="24"/>
        </w:rPr>
        <w:t xml:space="preserve"> </w:t>
      </w:r>
      <w:r>
        <w:rPr>
          <w:rFonts w:ascii="宋体" w:hAnsi="宋体" w:eastAsia="宋体" w:cs="宋体"/>
          <w:strike/>
          <w:spacing w:val="-1"/>
          <w:sz w:val="24"/>
          <w:szCs w:val="24"/>
        </w:rPr>
        <w:t>层板指接强度检验合格证书。</w:t>
      </w:r>
    </w:p>
    <w:p w14:paraId="7E86964E">
      <w:pPr>
        <w:spacing w:before="156" w:line="220"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2DBF6869">
      <w:pPr>
        <w:spacing w:before="155" w:line="338" w:lineRule="auto"/>
        <w:ind w:left="6" w:right="120" w:firstLine="1"/>
        <w:rPr>
          <w:rFonts w:ascii="宋体" w:hAnsi="宋体" w:eastAsia="宋体" w:cs="宋体"/>
          <w:sz w:val="24"/>
          <w:szCs w:val="24"/>
        </w:rPr>
      </w:pPr>
      <w:r>
        <w:rPr>
          <w:rFonts w:ascii="Times New Roman" w:hAnsi="Times New Roman" w:eastAsia="Times New Roman" w:cs="Times New Roman"/>
          <w:strike/>
          <w:sz w:val="24"/>
          <w:szCs w:val="24"/>
        </w:rPr>
        <w:t xml:space="preserve">5.2.7    </w:t>
      </w:r>
      <w:r>
        <w:rPr>
          <w:rFonts w:ascii="宋体" w:hAnsi="宋体" w:eastAsia="宋体" w:cs="宋体"/>
          <w:strike/>
          <w:sz w:val="24"/>
          <w:szCs w:val="24"/>
        </w:rPr>
        <w:t>各连接节点的连接件类别、规格和数量应符合设</w:t>
      </w:r>
      <w:r>
        <w:rPr>
          <w:rFonts w:ascii="宋体" w:hAnsi="宋体" w:eastAsia="宋体" w:cs="宋体"/>
          <w:strike/>
          <w:spacing w:val="-1"/>
          <w:sz w:val="24"/>
          <w:szCs w:val="24"/>
        </w:rPr>
        <w:t>计文件的规定。桁架端节点齿</w:t>
      </w:r>
      <w:r>
        <w:rPr>
          <w:rFonts w:ascii="宋体" w:hAnsi="宋体" w:eastAsia="宋体" w:cs="宋体"/>
          <w:sz w:val="24"/>
          <w:szCs w:val="24"/>
        </w:rPr>
        <w:t xml:space="preserve"> </w:t>
      </w:r>
      <w:r>
        <w:rPr>
          <w:rFonts w:ascii="宋体" w:hAnsi="宋体" w:eastAsia="宋体" w:cs="宋体"/>
          <w:strike/>
          <w:sz w:val="24"/>
          <w:szCs w:val="24"/>
        </w:rPr>
        <w:t>连接胶合木端部的受剪面及螺栓连接中的螺栓位</w:t>
      </w:r>
      <w:r>
        <w:rPr>
          <w:rFonts w:ascii="宋体" w:hAnsi="宋体" w:eastAsia="宋体" w:cs="宋体"/>
          <w:strike/>
          <w:spacing w:val="-1"/>
          <w:sz w:val="24"/>
          <w:szCs w:val="24"/>
        </w:rPr>
        <w:t>置，不应与漏胶胶缝重合。</w:t>
      </w:r>
    </w:p>
    <w:p w14:paraId="47A629A7">
      <w:pPr>
        <w:spacing w:before="1" w:line="219"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773F5072">
      <w:pPr>
        <w:spacing w:before="156" w:line="338" w:lineRule="auto"/>
        <w:ind w:left="6" w:right="120"/>
        <w:rPr>
          <w:rFonts w:ascii="宋体" w:hAnsi="宋体" w:eastAsia="宋体" w:cs="宋体"/>
          <w:sz w:val="24"/>
          <w:szCs w:val="24"/>
        </w:rPr>
      </w:pPr>
      <w:r>
        <w:rPr>
          <w:rFonts w:ascii="Times New Roman" w:hAnsi="Times New Roman" w:eastAsia="Times New Roman" w:cs="Times New Roman"/>
          <w:strike/>
          <w:sz w:val="24"/>
          <w:szCs w:val="24"/>
        </w:rPr>
        <w:t xml:space="preserve">6.2.1    </w:t>
      </w:r>
      <w:r>
        <w:rPr>
          <w:rFonts w:ascii="宋体" w:hAnsi="宋体" w:eastAsia="宋体" w:cs="宋体"/>
          <w:strike/>
          <w:sz w:val="24"/>
          <w:szCs w:val="24"/>
        </w:rPr>
        <w:t>轻型木结构的承重墙（包括剪力墙）、柱、楼盖、</w:t>
      </w:r>
      <w:r>
        <w:rPr>
          <w:rFonts w:ascii="宋体" w:hAnsi="宋体" w:eastAsia="宋体" w:cs="宋体"/>
          <w:strike/>
          <w:spacing w:val="-1"/>
          <w:sz w:val="24"/>
          <w:szCs w:val="24"/>
        </w:rPr>
        <w:t>屋盖布置、抗倾覆措施及屋</w:t>
      </w:r>
      <w:r>
        <w:rPr>
          <w:rFonts w:ascii="宋体" w:hAnsi="宋体" w:eastAsia="宋体" w:cs="宋体"/>
          <w:sz w:val="24"/>
          <w:szCs w:val="24"/>
        </w:rPr>
        <w:t xml:space="preserve"> </w:t>
      </w:r>
      <w:r>
        <w:rPr>
          <w:rFonts w:ascii="宋体" w:hAnsi="宋体" w:eastAsia="宋体" w:cs="宋体"/>
          <w:strike/>
          <w:spacing w:val="-1"/>
          <w:sz w:val="24"/>
          <w:szCs w:val="24"/>
        </w:rPr>
        <w:t>盖抗掀起措施等，应符合设计文件规定。</w:t>
      </w:r>
    </w:p>
    <w:p w14:paraId="19F1D77F">
      <w:pPr>
        <w:spacing w:before="1" w:line="219"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50AC1911">
      <w:pPr>
        <w:spacing w:before="154" w:line="219"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6.2.2    </w:t>
      </w:r>
      <w:r>
        <w:rPr>
          <w:rFonts w:ascii="宋体" w:hAnsi="宋体" w:eastAsia="宋体" w:cs="宋体"/>
          <w:strike/>
          <w:sz w:val="24"/>
          <w:szCs w:val="24"/>
        </w:rPr>
        <w:t>进场规格材应有产品质</w:t>
      </w:r>
      <w:r>
        <w:rPr>
          <w:rFonts w:ascii="宋体" w:hAnsi="宋体" w:eastAsia="宋体" w:cs="宋体"/>
          <w:strike/>
          <w:spacing w:val="-1"/>
          <w:sz w:val="24"/>
          <w:szCs w:val="24"/>
        </w:rPr>
        <w:t>量合格证书和产品标识。</w:t>
      </w:r>
    </w:p>
    <w:p w14:paraId="39D6713A">
      <w:pPr>
        <w:spacing w:before="155" w:line="220"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381E9AE4">
      <w:pPr>
        <w:spacing w:before="155" w:line="338"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6.2.11    </w:t>
      </w:r>
      <w:r>
        <w:rPr>
          <w:rFonts w:ascii="宋体" w:hAnsi="宋体" w:eastAsia="宋体" w:cs="宋体"/>
          <w:strike/>
          <w:sz w:val="24"/>
          <w:szCs w:val="24"/>
        </w:rPr>
        <w:t>轻型木结构各类构件间连接的金属连接件的规格、</w:t>
      </w:r>
      <w:r>
        <w:rPr>
          <w:rFonts w:ascii="宋体" w:hAnsi="宋体" w:eastAsia="宋体" w:cs="宋体"/>
          <w:strike/>
          <w:spacing w:val="-1"/>
          <w:sz w:val="24"/>
          <w:szCs w:val="24"/>
        </w:rPr>
        <w:t>钉连接的用钉规格与数量，</w:t>
      </w:r>
      <w:r>
        <w:rPr>
          <w:rFonts w:ascii="宋体" w:hAnsi="宋体" w:eastAsia="宋体" w:cs="宋体"/>
          <w:sz w:val="24"/>
          <w:szCs w:val="24"/>
        </w:rPr>
        <w:t xml:space="preserve"> </w:t>
      </w:r>
      <w:r>
        <w:rPr>
          <w:rFonts w:ascii="宋体" w:hAnsi="宋体" w:eastAsia="宋体" w:cs="宋体"/>
          <w:strike/>
          <w:spacing w:val="-1"/>
          <w:sz w:val="24"/>
          <w:szCs w:val="24"/>
        </w:rPr>
        <w:t>应符合设计文件的规定。</w:t>
      </w:r>
    </w:p>
    <w:p w14:paraId="468E82BB">
      <w:pPr>
        <w:spacing w:before="1" w:line="219" w:lineRule="auto"/>
        <w:ind w:left="485"/>
        <w:rPr>
          <w:rFonts w:ascii="宋体" w:hAnsi="宋体" w:eastAsia="宋体" w:cs="宋体"/>
          <w:sz w:val="24"/>
          <w:szCs w:val="24"/>
        </w:rPr>
      </w:pPr>
      <w:r>
        <w:rPr>
          <w:rFonts w:ascii="宋体" w:hAnsi="宋体" w:eastAsia="宋体" w:cs="宋体"/>
          <w:strike/>
          <w:spacing w:val="-1"/>
          <w:sz w:val="24"/>
          <w:szCs w:val="24"/>
        </w:rPr>
        <w:t>检查数量：检验批全数。</w:t>
      </w:r>
    </w:p>
    <w:p w14:paraId="1B619FA0">
      <w:pPr>
        <w:spacing w:before="156" w:line="341" w:lineRule="auto"/>
        <w:ind w:left="6" w:right="359" w:hanging="1"/>
        <w:rPr>
          <w:rFonts w:ascii="宋体" w:hAnsi="宋体" w:eastAsia="宋体" w:cs="宋体"/>
          <w:sz w:val="24"/>
          <w:szCs w:val="24"/>
        </w:rPr>
      </w:pPr>
      <w:r>
        <w:rPr>
          <w:rFonts w:ascii="Times New Roman" w:hAnsi="Times New Roman" w:eastAsia="Times New Roman" w:cs="Times New Roman"/>
          <w:strike/>
          <w:sz w:val="24"/>
          <w:szCs w:val="24"/>
        </w:rPr>
        <w:t xml:space="preserve">7.1.4    </w:t>
      </w:r>
      <w:r>
        <w:rPr>
          <w:rFonts w:ascii="宋体" w:hAnsi="宋体" w:eastAsia="宋体" w:cs="宋体"/>
          <w:strike/>
          <w:sz w:val="24"/>
          <w:szCs w:val="24"/>
        </w:rPr>
        <w:t>阻燃剂、防火涂料以及防腐、防虫等药剂，不得危及</w:t>
      </w:r>
      <w:r>
        <w:rPr>
          <w:rFonts w:ascii="宋体" w:hAnsi="宋体" w:eastAsia="宋体" w:cs="宋体"/>
          <w:strike/>
          <w:spacing w:val="-1"/>
          <w:sz w:val="24"/>
          <w:szCs w:val="24"/>
        </w:rPr>
        <w:t>人畜安全，不得污染环</w:t>
      </w:r>
      <w:r>
        <w:rPr>
          <w:rFonts w:ascii="宋体" w:hAnsi="宋体" w:eastAsia="宋体" w:cs="宋体"/>
          <w:sz w:val="24"/>
          <w:szCs w:val="24"/>
        </w:rPr>
        <w:t xml:space="preserve"> </w:t>
      </w:r>
      <w:r>
        <w:rPr>
          <w:rFonts w:ascii="宋体" w:hAnsi="宋体" w:eastAsia="宋体" w:cs="宋体"/>
          <w:strike/>
          <w:spacing w:val="-3"/>
          <w:sz w:val="24"/>
          <w:szCs w:val="24"/>
        </w:rPr>
        <w:t>境。</w:t>
      </w:r>
    </w:p>
    <w:p w14:paraId="1E2B46EC">
      <w:pPr>
        <w:spacing w:before="40" w:line="226" w:lineRule="auto"/>
        <w:ind w:left="5"/>
        <w:outlineLvl w:val="1"/>
        <w:rPr>
          <w:rFonts w:ascii="宋体" w:hAnsi="宋体" w:eastAsia="宋体" w:cs="宋体"/>
          <w:sz w:val="27"/>
          <w:szCs w:val="27"/>
        </w:rPr>
      </w:pPr>
      <w:bookmarkStart w:id="23" w:name="bookmark72"/>
      <w:bookmarkEnd w:id="23"/>
      <w:r>
        <w:rPr>
          <w:rFonts w:ascii="Times New Roman" w:hAnsi="Times New Roman" w:eastAsia="Times New Roman" w:cs="Times New Roman"/>
          <w:b/>
          <w:bCs/>
          <w:spacing w:val="6"/>
          <w:sz w:val="27"/>
          <w:szCs w:val="27"/>
        </w:rPr>
        <w:t>8.</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50496-2018  </w:t>
      </w:r>
      <w:r>
        <w:rPr>
          <w:rFonts w:ascii="宋体" w:hAnsi="宋体" w:eastAsia="宋体" w:cs="宋体"/>
          <w:b/>
          <w:bCs/>
          <w:spacing w:val="6"/>
          <w:sz w:val="27"/>
          <w:szCs w:val="27"/>
        </w:rPr>
        <w:t>大体积混凝土施工标准【强条已废】</w:t>
      </w:r>
    </w:p>
    <w:p w14:paraId="118FA518">
      <w:pPr>
        <w:pStyle w:val="2"/>
        <w:spacing w:line="355" w:lineRule="auto"/>
      </w:pPr>
    </w:p>
    <w:p w14:paraId="755A42EA">
      <w:pPr>
        <w:spacing w:before="79" w:line="213" w:lineRule="auto"/>
        <w:ind w:left="32"/>
        <w:rPr>
          <w:rFonts w:ascii="宋体" w:hAnsi="宋体" w:eastAsia="宋体" w:cs="宋体"/>
          <w:sz w:val="24"/>
          <w:szCs w:val="24"/>
        </w:rPr>
      </w:pPr>
      <w:r>
        <w:rPr>
          <w:rFonts w:ascii="宋体" w:hAnsi="宋体" w:eastAsia="宋体" w:cs="宋体"/>
          <w:b/>
          <w:bCs/>
          <w:color w:val="EE0000"/>
          <w:spacing w:val="-1"/>
          <w:sz w:val="24"/>
          <w:szCs w:val="24"/>
        </w:rPr>
        <w:t>以下条目已被</w:t>
      </w:r>
      <w:r>
        <w:rPr>
          <w:rFonts w:ascii="宋体" w:hAnsi="宋体" w:eastAsia="宋体" w:cs="宋体"/>
          <w:b/>
          <w:bCs/>
          <w:color w:val="EE0000"/>
          <w:spacing w:val="-1"/>
          <w:sz w:val="24"/>
          <w:szCs w:val="24"/>
          <w:u w:val="single" w:color="auto"/>
        </w:rPr>
        <w:t>《混凝土结构通用规范》GB55008-2021</w:t>
      </w:r>
      <w:r>
        <w:rPr>
          <w:rFonts w:ascii="宋体" w:hAnsi="宋体" w:eastAsia="宋体" w:cs="宋体"/>
          <w:b/>
          <w:bCs/>
          <w:color w:val="EE0000"/>
          <w:spacing w:val="-1"/>
          <w:sz w:val="24"/>
          <w:szCs w:val="24"/>
        </w:rPr>
        <w:t>替代</w:t>
      </w:r>
    </w:p>
    <w:p w14:paraId="67C245D6">
      <w:pPr>
        <w:spacing w:before="316" w:line="233" w:lineRule="auto"/>
        <w:ind w:left="4"/>
        <w:rPr>
          <w:rFonts w:ascii="宋体" w:hAnsi="宋体" w:eastAsia="宋体" w:cs="宋体"/>
          <w:sz w:val="24"/>
          <w:szCs w:val="24"/>
        </w:rPr>
      </w:pPr>
      <w:r>
        <w:rPr>
          <w:rFonts w:ascii="宋体" w:hAnsi="宋体" w:eastAsia="宋体" w:cs="宋体"/>
          <w:strike/>
          <w:sz w:val="24"/>
          <w:szCs w:val="24"/>
        </w:rPr>
        <w:t>4.2.2  用于大体积混凝土的水泥进场时应检查水泥品种、代号</w:t>
      </w:r>
      <w:r>
        <w:rPr>
          <w:rFonts w:ascii="宋体" w:hAnsi="宋体" w:eastAsia="宋体" w:cs="宋体"/>
          <w:strike/>
          <w:spacing w:val="-1"/>
          <w:sz w:val="24"/>
          <w:szCs w:val="24"/>
        </w:rPr>
        <w:t>、强度等级、包装或散</w:t>
      </w:r>
      <w:r>
        <w:rPr>
          <w:rFonts w:ascii="宋体" w:hAnsi="宋体" w:eastAsia="宋体" w:cs="宋体"/>
          <w:sz w:val="24"/>
          <w:szCs w:val="24"/>
        </w:rPr>
        <w:t xml:space="preserve"> </w:t>
      </w:r>
      <w:r>
        <w:rPr>
          <w:rFonts w:ascii="宋体" w:hAnsi="宋体" w:eastAsia="宋体" w:cs="宋体"/>
          <w:strike/>
          <w:sz w:val="24"/>
          <w:szCs w:val="24"/>
        </w:rPr>
        <w:t>装编号、出厂日期等，并应对水泥的强度、安定性、凝结时间</w:t>
      </w:r>
      <w:r>
        <w:rPr>
          <w:rFonts w:ascii="宋体" w:hAnsi="宋体" w:eastAsia="宋体" w:cs="宋体"/>
          <w:strike/>
          <w:spacing w:val="-1"/>
          <w:sz w:val="24"/>
          <w:szCs w:val="24"/>
        </w:rPr>
        <w:t>、水化热进行检验，检</w:t>
      </w:r>
      <w:r>
        <w:rPr>
          <w:rFonts w:ascii="宋体" w:hAnsi="宋体" w:eastAsia="宋体" w:cs="宋体"/>
          <w:sz w:val="24"/>
          <w:szCs w:val="24"/>
        </w:rPr>
        <w:t xml:space="preserve">  </w:t>
      </w:r>
      <w:r>
        <w:rPr>
          <w:rFonts w:ascii="宋体" w:hAnsi="宋体" w:eastAsia="宋体" w:cs="宋体"/>
          <w:strike/>
          <w:spacing w:val="-1"/>
          <w:sz w:val="24"/>
          <w:szCs w:val="24"/>
        </w:rPr>
        <w:t>验结果应符合现行国家标准《通用硅酸水泥》GB175</w:t>
      </w:r>
      <w:r>
        <w:rPr>
          <w:rFonts w:ascii="宋体" w:hAnsi="宋体" w:eastAsia="宋体" w:cs="宋体"/>
          <w:strike/>
          <w:spacing w:val="-31"/>
          <w:sz w:val="24"/>
          <w:szCs w:val="24"/>
        </w:rPr>
        <w:t xml:space="preserve"> </w:t>
      </w:r>
      <w:r>
        <w:rPr>
          <w:rFonts w:ascii="宋体" w:hAnsi="宋体" w:eastAsia="宋体" w:cs="宋体"/>
          <w:strike/>
          <w:spacing w:val="-1"/>
          <w:sz w:val="24"/>
          <w:szCs w:val="24"/>
        </w:rPr>
        <w:t>的相关</w:t>
      </w:r>
      <w:r>
        <w:rPr>
          <w:rFonts w:ascii="宋体" w:hAnsi="宋体" w:eastAsia="宋体" w:cs="宋体"/>
          <w:strike/>
          <w:spacing w:val="-2"/>
          <w:sz w:val="24"/>
          <w:szCs w:val="24"/>
        </w:rPr>
        <w:t>规定。</w:t>
      </w:r>
    </w:p>
    <w:p w14:paraId="4E4BF11D">
      <w:pPr>
        <w:spacing w:before="307" w:line="229" w:lineRule="auto"/>
        <w:ind w:left="5" w:firstLine="4"/>
        <w:rPr>
          <w:rFonts w:ascii="宋体" w:hAnsi="宋体" w:eastAsia="宋体" w:cs="宋体"/>
          <w:sz w:val="24"/>
          <w:szCs w:val="24"/>
        </w:rPr>
      </w:pPr>
      <w:r>
        <w:rPr>
          <w:rFonts w:ascii="宋体" w:hAnsi="宋体" w:eastAsia="宋体" w:cs="宋体"/>
          <w:strike/>
          <w:sz w:val="24"/>
          <w:szCs w:val="24"/>
        </w:rPr>
        <w:t>5.3.1  大体积混凝土模板和支架应进行承载力、</w:t>
      </w:r>
      <w:r>
        <w:rPr>
          <w:rFonts w:ascii="宋体" w:hAnsi="宋体" w:eastAsia="宋体" w:cs="宋体"/>
          <w:strike/>
          <w:spacing w:val="-1"/>
          <w:sz w:val="24"/>
          <w:szCs w:val="24"/>
        </w:rPr>
        <w:t>刚度和整体稳固性验算，并应根据大</w:t>
      </w:r>
      <w:r>
        <w:rPr>
          <w:rFonts w:ascii="宋体" w:hAnsi="宋体" w:eastAsia="宋体" w:cs="宋体"/>
          <w:sz w:val="24"/>
          <w:szCs w:val="24"/>
        </w:rPr>
        <w:t xml:space="preserve"> </w:t>
      </w:r>
      <w:r>
        <w:rPr>
          <w:rFonts w:ascii="宋体" w:hAnsi="宋体" w:eastAsia="宋体" w:cs="宋体"/>
          <w:strike/>
          <w:spacing w:val="-1"/>
          <w:sz w:val="24"/>
          <w:szCs w:val="24"/>
        </w:rPr>
        <w:t>体积混凝土采用的养护方法进行保温构造设计。</w:t>
      </w:r>
    </w:p>
    <w:p w14:paraId="4084533F">
      <w:pPr>
        <w:spacing w:line="229" w:lineRule="auto"/>
        <w:rPr>
          <w:rFonts w:ascii="宋体" w:hAnsi="宋体" w:eastAsia="宋体" w:cs="宋体"/>
          <w:sz w:val="24"/>
          <w:szCs w:val="24"/>
        </w:rPr>
        <w:sectPr>
          <w:footerReference r:id="rId23" w:type="default"/>
          <w:pgSz w:w="11907" w:h="16839"/>
          <w:pgMar w:top="400" w:right="1489" w:bottom="743" w:left="1421" w:header="0" w:footer="582" w:gutter="0"/>
          <w:cols w:space="720" w:num="1"/>
        </w:sectPr>
      </w:pPr>
    </w:p>
    <w:p w14:paraId="2349878D">
      <w:pPr>
        <w:pStyle w:val="2"/>
        <w:spacing w:line="309" w:lineRule="auto"/>
      </w:pPr>
    </w:p>
    <w:p w14:paraId="40C3A596">
      <w:pPr>
        <w:pStyle w:val="2"/>
        <w:spacing w:line="309" w:lineRule="auto"/>
      </w:pPr>
    </w:p>
    <w:p w14:paraId="188E8112">
      <w:pPr>
        <w:pStyle w:val="2"/>
        <w:spacing w:line="309" w:lineRule="auto"/>
      </w:pPr>
    </w:p>
    <w:p w14:paraId="260C962F">
      <w:pPr>
        <w:spacing w:before="88" w:line="225" w:lineRule="auto"/>
        <w:ind w:left="8"/>
        <w:outlineLvl w:val="1"/>
        <w:rPr>
          <w:rFonts w:ascii="宋体" w:hAnsi="宋体" w:eastAsia="宋体" w:cs="宋体"/>
          <w:sz w:val="27"/>
          <w:szCs w:val="27"/>
        </w:rPr>
      </w:pPr>
      <w:bookmarkStart w:id="24" w:name="bookmark73"/>
      <w:bookmarkEnd w:id="24"/>
      <w:r>
        <w:rPr>
          <w:rFonts w:ascii="Times New Roman" w:hAnsi="Times New Roman" w:eastAsia="Times New Roman" w:cs="Times New Roman"/>
          <w:b/>
          <w:bCs/>
          <w:spacing w:val="6"/>
          <w:sz w:val="27"/>
          <w:szCs w:val="27"/>
        </w:rPr>
        <w:t>9.</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50574-2010  </w:t>
      </w:r>
      <w:r>
        <w:rPr>
          <w:rFonts w:ascii="宋体" w:hAnsi="宋体" w:eastAsia="宋体" w:cs="宋体"/>
          <w:b/>
          <w:bCs/>
          <w:spacing w:val="6"/>
          <w:sz w:val="27"/>
          <w:szCs w:val="27"/>
        </w:rPr>
        <w:t>墙体材料应用统一技术规范【部分强条已废】</w:t>
      </w:r>
    </w:p>
    <w:p w14:paraId="36BD1B37">
      <w:pPr>
        <w:spacing w:before="285" w:line="220" w:lineRule="auto"/>
        <w:ind w:left="36"/>
        <w:rPr>
          <w:rFonts w:ascii="宋体" w:hAnsi="宋体" w:eastAsia="宋体" w:cs="宋体"/>
          <w:sz w:val="24"/>
          <w:szCs w:val="24"/>
        </w:rPr>
      </w:pPr>
      <w:r>
        <w:rPr>
          <w:rFonts w:ascii="宋体" w:hAnsi="宋体" w:eastAsia="宋体" w:cs="宋体"/>
          <w:spacing w:val="-1"/>
          <w:sz w:val="24"/>
          <w:szCs w:val="24"/>
        </w:rPr>
        <w:t>以下条目已被</w:t>
      </w:r>
      <w:r>
        <w:rPr>
          <w:rFonts w:ascii="宋体" w:hAnsi="宋体" w:eastAsia="宋体" w:cs="宋体"/>
          <w:color w:val="0563C1"/>
          <w:spacing w:val="-1"/>
          <w:sz w:val="24"/>
          <w:szCs w:val="24"/>
          <w:u w:val="single" w:color="auto"/>
        </w:rPr>
        <w:t>《</w:t>
      </w:r>
      <w:r>
        <w:rPr>
          <w:rFonts w:ascii="Times New Roman" w:hAnsi="Times New Roman" w:eastAsia="Times New Roman" w:cs="Times New Roman"/>
          <w:color w:val="0563C1"/>
          <w:spacing w:val="-1"/>
          <w:sz w:val="24"/>
          <w:szCs w:val="24"/>
          <w:u w:val="single" w:color="auto"/>
        </w:rPr>
        <w:t xml:space="preserve">GB55007-2021 </w:t>
      </w:r>
      <w:r>
        <w:rPr>
          <w:rFonts w:ascii="宋体" w:hAnsi="宋体" w:eastAsia="宋体" w:cs="宋体"/>
          <w:color w:val="0563C1"/>
          <w:spacing w:val="-1"/>
          <w:sz w:val="24"/>
          <w:szCs w:val="24"/>
          <w:u w:val="single" w:color="auto"/>
        </w:rPr>
        <w:t>砌体结构通</w:t>
      </w:r>
      <w:r>
        <w:rPr>
          <w:rFonts w:ascii="宋体" w:hAnsi="宋体" w:eastAsia="宋体" w:cs="宋体"/>
          <w:color w:val="0563C1"/>
          <w:spacing w:val="-2"/>
          <w:sz w:val="24"/>
          <w:szCs w:val="24"/>
          <w:u w:val="single" w:color="auto"/>
        </w:rPr>
        <w:t>用规范》</w:t>
      </w:r>
      <w:r>
        <w:rPr>
          <w:rFonts w:ascii="宋体" w:hAnsi="宋体" w:eastAsia="宋体" w:cs="宋体"/>
          <w:spacing w:val="-2"/>
          <w:sz w:val="24"/>
          <w:szCs w:val="24"/>
        </w:rPr>
        <w:t>替代</w:t>
      </w:r>
    </w:p>
    <w:p w14:paraId="73BA92FA">
      <w:pPr>
        <w:spacing w:before="154" w:line="219" w:lineRule="auto"/>
        <w:ind w:left="9"/>
        <w:rPr>
          <w:rFonts w:ascii="宋体" w:hAnsi="宋体" w:eastAsia="宋体" w:cs="宋体"/>
          <w:sz w:val="24"/>
          <w:szCs w:val="24"/>
        </w:rPr>
      </w:pPr>
      <w:r>
        <w:rPr>
          <w:rFonts w:ascii="Times New Roman" w:hAnsi="Times New Roman" w:eastAsia="Times New Roman" w:cs="Times New Roman"/>
          <w:strike/>
          <w:sz w:val="24"/>
          <w:szCs w:val="24"/>
        </w:rPr>
        <w:t xml:space="preserve">3.1.4    </w:t>
      </w:r>
      <w:r>
        <w:rPr>
          <w:rFonts w:ascii="宋体" w:hAnsi="宋体" w:eastAsia="宋体" w:cs="宋体"/>
          <w:strike/>
          <w:sz w:val="24"/>
          <w:szCs w:val="24"/>
        </w:rPr>
        <w:t>墙体不应采用非蒸压硅酸盐砖（砌块）及</w:t>
      </w:r>
      <w:r>
        <w:rPr>
          <w:rFonts w:ascii="宋体" w:hAnsi="宋体" w:eastAsia="宋体" w:cs="宋体"/>
          <w:strike/>
          <w:spacing w:val="-1"/>
          <w:sz w:val="24"/>
          <w:szCs w:val="24"/>
        </w:rPr>
        <w:t>非蒸压加气混凝土制品。</w:t>
      </w:r>
    </w:p>
    <w:p w14:paraId="7ED4CE0A">
      <w:pPr>
        <w:spacing w:before="155" w:line="279" w:lineRule="auto"/>
        <w:ind w:left="7" w:right="117" w:hanging="4"/>
        <w:rPr>
          <w:rFonts w:ascii="宋体" w:hAnsi="宋体" w:eastAsia="宋体" w:cs="宋体"/>
          <w:sz w:val="24"/>
          <w:szCs w:val="24"/>
        </w:rPr>
      </w:pPr>
      <w:r>
        <w:rPr>
          <w:rFonts w:ascii="Times New Roman" w:hAnsi="Times New Roman" w:eastAsia="Times New Roman" w:cs="Times New Roman"/>
          <w:b/>
          <w:bCs/>
          <w:color w:val="0070C0"/>
          <w:spacing w:val="-1"/>
          <w:sz w:val="24"/>
          <w:szCs w:val="24"/>
        </w:rPr>
        <w:t xml:space="preserve">3.1.5    </w:t>
      </w:r>
      <w:r>
        <w:rPr>
          <w:rFonts w:ascii="宋体" w:hAnsi="宋体" w:eastAsia="宋体" w:cs="宋体"/>
          <w:b/>
          <w:bCs/>
          <w:color w:val="0070C0"/>
          <w:spacing w:val="-1"/>
          <w:sz w:val="24"/>
          <w:szCs w:val="24"/>
        </w:rPr>
        <w:t>应用氯氧镁墙材制品时应进行吸潮返卤、</w:t>
      </w:r>
      <w:r>
        <w:rPr>
          <w:rFonts w:ascii="宋体" w:hAnsi="宋体" w:eastAsia="宋体" w:cs="宋体"/>
          <w:b/>
          <w:bCs/>
          <w:color w:val="0070C0"/>
          <w:spacing w:val="-2"/>
          <w:sz w:val="24"/>
          <w:szCs w:val="24"/>
        </w:rPr>
        <w:t>翘曲变形及耐水性试验，并应在其试</w:t>
      </w:r>
      <w:r>
        <w:rPr>
          <w:rFonts w:ascii="宋体" w:hAnsi="宋体" w:eastAsia="宋体" w:cs="宋体"/>
          <w:color w:val="0070C0"/>
          <w:sz w:val="24"/>
          <w:szCs w:val="24"/>
        </w:rPr>
        <w:t xml:space="preserve"> </w:t>
      </w:r>
      <w:r>
        <w:rPr>
          <w:rFonts w:ascii="宋体" w:hAnsi="宋体" w:eastAsia="宋体" w:cs="宋体"/>
          <w:b/>
          <w:bCs/>
          <w:color w:val="0070C0"/>
          <w:spacing w:val="-5"/>
          <w:sz w:val="24"/>
          <w:szCs w:val="24"/>
        </w:rPr>
        <w:t>验指标满足使用要求后用于工程。</w:t>
      </w:r>
    </w:p>
    <w:p w14:paraId="6BD2CCFA">
      <w:pPr>
        <w:spacing w:before="154" w:line="219" w:lineRule="auto"/>
        <w:ind w:left="9"/>
        <w:rPr>
          <w:rFonts w:ascii="宋体" w:hAnsi="宋体" w:eastAsia="宋体" w:cs="宋体"/>
          <w:sz w:val="24"/>
          <w:szCs w:val="24"/>
        </w:rPr>
      </w:pPr>
      <w:r>
        <w:rPr>
          <w:rFonts w:ascii="Times New Roman" w:hAnsi="Times New Roman" w:eastAsia="Times New Roman" w:cs="Times New Roman"/>
          <w:strike/>
          <w:sz w:val="24"/>
          <w:szCs w:val="24"/>
        </w:rPr>
        <w:t xml:space="preserve">3.2.1    </w:t>
      </w:r>
      <w:r>
        <w:rPr>
          <w:rFonts w:ascii="宋体" w:hAnsi="宋体" w:eastAsia="宋体" w:cs="宋体"/>
          <w:strike/>
          <w:sz w:val="24"/>
          <w:szCs w:val="24"/>
        </w:rPr>
        <w:t>块体材料的外形尺寸除应符合建筑模数要求</w:t>
      </w:r>
      <w:r>
        <w:rPr>
          <w:rFonts w:ascii="宋体" w:hAnsi="宋体" w:eastAsia="宋体" w:cs="宋体"/>
          <w:strike/>
          <w:spacing w:val="-1"/>
          <w:sz w:val="24"/>
          <w:szCs w:val="24"/>
        </w:rPr>
        <w:t>外，尚应符合下列规定：</w:t>
      </w:r>
    </w:p>
    <w:p w14:paraId="31CB2E09">
      <w:pPr>
        <w:spacing w:before="156" w:line="219" w:lineRule="auto"/>
        <w:ind w:left="508"/>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非烧结含孔块材的孔洞率、壁及肋厚度等应符合表</w:t>
      </w:r>
      <w:r>
        <w:rPr>
          <w:rFonts w:ascii="宋体" w:hAnsi="宋体" w:eastAsia="宋体" w:cs="宋体"/>
          <w:strike/>
          <w:spacing w:val="-43"/>
          <w:sz w:val="24"/>
          <w:szCs w:val="24"/>
        </w:rPr>
        <w:t xml:space="preserve"> </w:t>
      </w:r>
      <w:r>
        <w:rPr>
          <w:rFonts w:ascii="Times New Roman" w:hAnsi="Times New Roman" w:eastAsia="Times New Roman" w:cs="Times New Roman"/>
          <w:strike/>
          <w:spacing w:val="-2"/>
          <w:sz w:val="24"/>
          <w:szCs w:val="24"/>
        </w:rPr>
        <w:t>3.2.1</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的要求；</w:t>
      </w:r>
    </w:p>
    <w:p w14:paraId="15AFDDD4">
      <w:pPr>
        <w:spacing w:before="156" w:line="293" w:lineRule="auto"/>
        <w:ind w:left="2311" w:right="1110" w:hanging="1821"/>
        <w:rPr>
          <w:rFonts w:ascii="宋体" w:hAnsi="宋体" w:eastAsia="宋体" w:cs="宋体"/>
          <w:sz w:val="21"/>
          <w:szCs w:val="21"/>
        </w:rPr>
      </w:pPr>
      <w:r>
        <w:rPr>
          <w:rFonts w:ascii="Times New Roman" w:hAnsi="Times New Roman" w:eastAsia="Times New Roman" w:cs="Times New Roman"/>
          <w:strike/>
          <w:sz w:val="24"/>
          <w:szCs w:val="24"/>
        </w:rPr>
        <w:t xml:space="preserve">6  </w:t>
      </w:r>
      <w:r>
        <w:rPr>
          <w:rFonts w:ascii="宋体" w:hAnsi="宋体" w:eastAsia="宋体" w:cs="宋体"/>
          <w:strike/>
          <w:sz w:val="24"/>
          <w:szCs w:val="24"/>
        </w:rPr>
        <w:t>蒸压加气混凝土砌块不应有未切割面，其</w:t>
      </w:r>
      <w:r>
        <w:rPr>
          <w:rFonts w:ascii="宋体" w:hAnsi="宋体" w:eastAsia="宋体" w:cs="宋体"/>
          <w:strike/>
          <w:spacing w:val="-1"/>
          <w:sz w:val="24"/>
          <w:szCs w:val="24"/>
        </w:rPr>
        <w:t>切割面不应有切割附着屑；</w:t>
      </w:r>
      <w:r>
        <w:rPr>
          <w:rFonts w:ascii="宋体" w:hAnsi="宋体" w:eastAsia="宋体" w:cs="宋体"/>
          <w:sz w:val="24"/>
          <w:szCs w:val="24"/>
        </w:rPr>
        <w:t xml:space="preserve"> </w:t>
      </w:r>
      <w:r>
        <w:rPr>
          <w:rFonts w:ascii="宋体" w:hAnsi="宋体" w:eastAsia="宋体" w:cs="宋体"/>
          <w:spacing w:val="-1"/>
          <w:sz w:val="21"/>
          <w:szCs w:val="21"/>
        </w:rPr>
        <w:t>表</w:t>
      </w:r>
      <w:r>
        <w:rPr>
          <w:rFonts w:ascii="宋体" w:hAnsi="宋体" w:eastAsia="宋体" w:cs="宋体"/>
          <w:spacing w:val="-32"/>
          <w:sz w:val="21"/>
          <w:szCs w:val="21"/>
        </w:rPr>
        <w:t xml:space="preserve"> </w:t>
      </w:r>
      <w:r>
        <w:rPr>
          <w:rFonts w:ascii="Times New Roman" w:hAnsi="Times New Roman" w:eastAsia="Times New Roman" w:cs="Times New Roman"/>
          <w:spacing w:val="-1"/>
          <w:sz w:val="21"/>
          <w:szCs w:val="21"/>
        </w:rPr>
        <w:t xml:space="preserve">3.2.1    </w:t>
      </w:r>
      <w:r>
        <w:rPr>
          <w:rFonts w:ascii="宋体" w:hAnsi="宋体" w:eastAsia="宋体" w:cs="宋体"/>
          <w:spacing w:val="-1"/>
          <w:sz w:val="21"/>
          <w:szCs w:val="21"/>
        </w:rPr>
        <w:t>非烧结含孔块材的孔洞率、壁及肋厚度要求</w:t>
      </w:r>
    </w:p>
    <w:p w14:paraId="33A94B70">
      <w:pPr>
        <w:spacing w:line="19" w:lineRule="exact"/>
      </w:pPr>
    </w:p>
    <w:tbl>
      <w:tblPr>
        <w:tblStyle w:val="5"/>
        <w:tblW w:w="8526" w:type="dxa"/>
        <w:tblInd w:w="2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7"/>
        <w:gridCol w:w="1543"/>
        <w:gridCol w:w="1229"/>
        <w:gridCol w:w="1485"/>
        <w:gridCol w:w="1349"/>
        <w:gridCol w:w="1873"/>
      </w:tblGrid>
      <w:tr w14:paraId="2E337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2590" w:type="dxa"/>
            <w:gridSpan w:val="2"/>
            <w:vAlign w:val="top"/>
          </w:tcPr>
          <w:p w14:paraId="64C00B57">
            <w:pPr>
              <w:pStyle w:val="6"/>
              <w:spacing w:before="291" w:line="219" w:lineRule="auto"/>
              <w:ind w:left="355"/>
            </w:pPr>
            <w:r>
              <w:rPr>
                <w:spacing w:val="-1"/>
              </w:rPr>
              <w:t>块体材料类型及用途</w:t>
            </w:r>
          </w:p>
        </w:tc>
        <w:tc>
          <w:tcPr>
            <w:tcW w:w="1229" w:type="dxa"/>
            <w:vAlign w:val="top"/>
          </w:tcPr>
          <w:p w14:paraId="3D468DE9">
            <w:pPr>
              <w:pStyle w:val="6"/>
              <w:spacing w:before="111" w:line="220" w:lineRule="auto"/>
              <w:ind w:left="305"/>
            </w:pPr>
            <w:r>
              <w:rPr>
                <w:spacing w:val="-3"/>
              </w:rPr>
              <w:t>孔洞率</w:t>
            </w:r>
          </w:p>
          <w:p w14:paraId="3898E2EC">
            <w:pPr>
              <w:pStyle w:val="6"/>
              <w:spacing w:before="110" w:line="216" w:lineRule="auto"/>
              <w:ind w:left="327"/>
            </w:pPr>
            <w:r>
              <w:rPr>
                <w:spacing w:val="-5"/>
              </w:rPr>
              <w:t>（</w:t>
            </w:r>
            <w:r>
              <w:rPr>
                <w:rFonts w:ascii="Times New Roman" w:hAnsi="Times New Roman" w:eastAsia="Times New Roman" w:cs="Times New Roman"/>
                <w:spacing w:val="-5"/>
              </w:rPr>
              <w:t>%</w:t>
            </w:r>
            <w:r>
              <w:rPr>
                <w:spacing w:val="-5"/>
              </w:rPr>
              <w:t>）</w:t>
            </w:r>
          </w:p>
        </w:tc>
        <w:tc>
          <w:tcPr>
            <w:tcW w:w="1485" w:type="dxa"/>
            <w:vAlign w:val="top"/>
          </w:tcPr>
          <w:p w14:paraId="3031F777">
            <w:pPr>
              <w:pStyle w:val="6"/>
              <w:spacing w:before="111" w:line="220" w:lineRule="auto"/>
              <w:ind w:left="330"/>
            </w:pPr>
            <w:r>
              <w:rPr>
                <w:spacing w:val="-3"/>
              </w:rPr>
              <w:t>最小外壁</w:t>
            </w:r>
          </w:p>
          <w:p w14:paraId="103383D2">
            <w:pPr>
              <w:pStyle w:val="6"/>
              <w:spacing w:before="110" w:line="216" w:lineRule="auto"/>
              <w:ind w:left="380"/>
            </w:pPr>
            <w:r>
              <w:rPr>
                <w:spacing w:val="-4"/>
              </w:rPr>
              <w:t>（</w:t>
            </w:r>
            <w:r>
              <w:rPr>
                <w:rFonts w:ascii="Times New Roman" w:hAnsi="Times New Roman" w:eastAsia="Times New Roman" w:cs="Times New Roman"/>
                <w:spacing w:val="-4"/>
              </w:rPr>
              <w:t>mm</w:t>
            </w:r>
            <w:r>
              <w:rPr>
                <w:spacing w:val="-4"/>
              </w:rPr>
              <w:t>）</w:t>
            </w:r>
          </w:p>
        </w:tc>
        <w:tc>
          <w:tcPr>
            <w:tcW w:w="1349" w:type="dxa"/>
            <w:vAlign w:val="top"/>
          </w:tcPr>
          <w:p w14:paraId="1D49A94E">
            <w:pPr>
              <w:pStyle w:val="6"/>
              <w:spacing w:before="111" w:line="220" w:lineRule="auto"/>
              <w:ind w:left="262"/>
            </w:pPr>
            <w:r>
              <w:rPr>
                <w:spacing w:val="-3"/>
              </w:rPr>
              <w:t>最小肋厚</w:t>
            </w:r>
          </w:p>
          <w:p w14:paraId="65C7A0A1">
            <w:pPr>
              <w:pStyle w:val="6"/>
              <w:spacing w:before="110" w:line="216" w:lineRule="auto"/>
              <w:ind w:left="312"/>
            </w:pPr>
            <w:r>
              <w:rPr>
                <w:spacing w:val="-4"/>
              </w:rPr>
              <w:t>（</w:t>
            </w:r>
            <w:r>
              <w:rPr>
                <w:rFonts w:ascii="Times New Roman" w:hAnsi="Times New Roman" w:eastAsia="Times New Roman" w:cs="Times New Roman"/>
                <w:spacing w:val="-4"/>
              </w:rPr>
              <w:t>mm</w:t>
            </w:r>
            <w:r>
              <w:rPr>
                <w:spacing w:val="-4"/>
              </w:rPr>
              <w:t>）</w:t>
            </w:r>
          </w:p>
        </w:tc>
        <w:tc>
          <w:tcPr>
            <w:tcW w:w="1873" w:type="dxa"/>
            <w:vAlign w:val="top"/>
          </w:tcPr>
          <w:p w14:paraId="6420E48B">
            <w:pPr>
              <w:pStyle w:val="6"/>
              <w:spacing w:before="292" w:line="220" w:lineRule="auto"/>
              <w:ind w:left="522"/>
            </w:pPr>
            <w:r>
              <w:rPr>
                <w:spacing w:val="-2"/>
              </w:rPr>
              <w:t>其他要求</w:t>
            </w:r>
          </w:p>
        </w:tc>
      </w:tr>
      <w:tr w14:paraId="7E044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47" w:type="dxa"/>
            <w:vMerge w:val="restart"/>
            <w:tcBorders>
              <w:bottom w:val="nil"/>
            </w:tcBorders>
            <w:vAlign w:val="top"/>
          </w:tcPr>
          <w:p w14:paraId="26E34B4B">
            <w:pPr>
              <w:spacing w:line="403" w:lineRule="auto"/>
              <w:rPr>
                <w:rFonts w:ascii="Arial"/>
                <w:sz w:val="21"/>
              </w:rPr>
            </w:pPr>
          </w:p>
          <w:p w14:paraId="72B0C776">
            <w:pPr>
              <w:pStyle w:val="6"/>
              <w:spacing w:before="68" w:line="220" w:lineRule="auto"/>
              <w:ind w:left="213"/>
            </w:pPr>
            <w:r>
              <w:rPr>
                <w:spacing w:val="-2"/>
              </w:rPr>
              <w:t>含孔砖</w:t>
            </w:r>
          </w:p>
        </w:tc>
        <w:tc>
          <w:tcPr>
            <w:tcW w:w="1543" w:type="dxa"/>
            <w:vAlign w:val="top"/>
          </w:tcPr>
          <w:p w14:paraId="5AE6D845">
            <w:pPr>
              <w:pStyle w:val="6"/>
              <w:spacing w:before="289" w:line="220" w:lineRule="auto"/>
              <w:ind w:left="251"/>
            </w:pPr>
            <w:r>
              <w:rPr>
                <w:spacing w:val="-2"/>
              </w:rPr>
              <w:t>用于承重墙</w:t>
            </w:r>
          </w:p>
        </w:tc>
        <w:tc>
          <w:tcPr>
            <w:tcW w:w="1229" w:type="dxa"/>
            <w:vAlign w:val="top"/>
          </w:tcPr>
          <w:p w14:paraId="5691327C">
            <w:pPr>
              <w:pStyle w:val="6"/>
              <w:spacing w:before="290" w:line="236" w:lineRule="auto"/>
              <w:ind w:left="424"/>
              <w:rPr>
                <w:rFonts w:ascii="Times New Roman" w:hAnsi="Times New Roman" w:eastAsia="Times New Roman" w:cs="Times New Roman"/>
              </w:rPr>
            </w:pPr>
            <w:r>
              <w:rPr>
                <w:spacing w:val="-8"/>
              </w:rPr>
              <w:t>≤</w:t>
            </w:r>
            <w:r>
              <w:rPr>
                <w:rFonts w:ascii="Times New Roman" w:hAnsi="Times New Roman" w:eastAsia="Times New Roman" w:cs="Times New Roman"/>
                <w:spacing w:val="-8"/>
              </w:rPr>
              <w:t>35</w:t>
            </w:r>
          </w:p>
        </w:tc>
        <w:tc>
          <w:tcPr>
            <w:tcW w:w="1485" w:type="dxa"/>
            <w:vAlign w:val="top"/>
          </w:tcPr>
          <w:p w14:paraId="117DE62D">
            <w:pPr>
              <w:spacing w:line="266" w:lineRule="auto"/>
              <w:rPr>
                <w:rFonts w:ascii="Arial"/>
                <w:sz w:val="21"/>
              </w:rPr>
            </w:pPr>
          </w:p>
          <w:p w14:paraId="04B0B0CF">
            <w:pPr>
              <w:spacing w:before="60" w:line="186" w:lineRule="auto"/>
              <w:ind w:left="65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349" w:type="dxa"/>
            <w:vAlign w:val="top"/>
          </w:tcPr>
          <w:p w14:paraId="29EC6A84">
            <w:pPr>
              <w:spacing w:line="266" w:lineRule="auto"/>
              <w:rPr>
                <w:rFonts w:ascii="Arial"/>
                <w:sz w:val="21"/>
              </w:rPr>
            </w:pPr>
          </w:p>
          <w:p w14:paraId="11E4999F">
            <w:pPr>
              <w:spacing w:before="60" w:line="186" w:lineRule="auto"/>
              <w:ind w:left="59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73" w:type="dxa"/>
            <w:vAlign w:val="top"/>
          </w:tcPr>
          <w:p w14:paraId="147F0746">
            <w:pPr>
              <w:pStyle w:val="6"/>
              <w:spacing w:before="109" w:line="266" w:lineRule="auto"/>
              <w:ind w:left="360" w:right="200" w:hanging="154"/>
              <w:rPr>
                <w:rFonts w:ascii="Times New Roman" w:hAnsi="Times New Roman" w:eastAsia="Times New Roman" w:cs="Times New Roman"/>
              </w:rPr>
            </w:pPr>
            <w:r>
              <w:rPr>
                <w:spacing w:val="-2"/>
              </w:rPr>
              <w:t>孔的长度与宽度</w:t>
            </w:r>
            <w:r>
              <w:rPr>
                <w:spacing w:val="3"/>
              </w:rPr>
              <w:t xml:space="preserve"> </w:t>
            </w:r>
            <w:r>
              <w:rPr>
                <w:spacing w:val="-6"/>
              </w:rPr>
              <w:t>比不应小于</w:t>
            </w:r>
            <w:r>
              <w:rPr>
                <w:spacing w:val="-45"/>
              </w:rPr>
              <w:t xml:space="preserve"> </w:t>
            </w:r>
            <w:r>
              <w:rPr>
                <w:rFonts w:ascii="Times New Roman" w:hAnsi="Times New Roman" w:eastAsia="Times New Roman" w:cs="Times New Roman"/>
                <w:spacing w:val="-6"/>
              </w:rPr>
              <w:t>2</w:t>
            </w:r>
          </w:p>
        </w:tc>
      </w:tr>
      <w:tr w14:paraId="07DDD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47" w:type="dxa"/>
            <w:vMerge w:val="continue"/>
            <w:tcBorders>
              <w:top w:val="nil"/>
            </w:tcBorders>
            <w:vAlign w:val="top"/>
          </w:tcPr>
          <w:p w14:paraId="13ABBC51">
            <w:pPr>
              <w:rPr>
                <w:rFonts w:ascii="Arial"/>
                <w:sz w:val="21"/>
              </w:rPr>
            </w:pPr>
          </w:p>
        </w:tc>
        <w:tc>
          <w:tcPr>
            <w:tcW w:w="1543" w:type="dxa"/>
            <w:vAlign w:val="top"/>
          </w:tcPr>
          <w:p w14:paraId="7D54B7D8">
            <w:pPr>
              <w:pStyle w:val="6"/>
              <w:spacing w:before="109" w:line="215" w:lineRule="auto"/>
              <w:ind w:left="145"/>
            </w:pPr>
            <w:r>
              <w:rPr>
                <w:spacing w:val="-2"/>
              </w:rPr>
              <w:t>用于自承重墙</w:t>
            </w:r>
          </w:p>
        </w:tc>
        <w:tc>
          <w:tcPr>
            <w:tcW w:w="1229" w:type="dxa"/>
            <w:vAlign w:val="top"/>
          </w:tcPr>
          <w:p w14:paraId="49B93E89">
            <w:pPr>
              <w:tabs>
                <w:tab w:val="left" w:pos="715"/>
              </w:tabs>
              <w:spacing w:before="16"/>
              <w:ind w:left="513"/>
              <w:rPr>
                <w:rFonts w:ascii="Arial"/>
                <w:sz w:val="21"/>
              </w:rPr>
            </w:pPr>
            <w:r>
              <w:rPr>
                <w:rFonts w:ascii="Arial" w:hAnsi="Arial" w:eastAsia="Arial" w:cs="Arial"/>
                <w:sz w:val="21"/>
                <w:szCs w:val="21"/>
                <w:u w:val="single" w:color="auto"/>
              </w:rPr>
              <w:tab/>
            </w:r>
          </w:p>
        </w:tc>
        <w:tc>
          <w:tcPr>
            <w:tcW w:w="1485" w:type="dxa"/>
            <w:vAlign w:val="top"/>
          </w:tcPr>
          <w:p w14:paraId="2E5004E2">
            <w:pPr>
              <w:spacing w:before="148" w:line="186" w:lineRule="auto"/>
              <w:ind w:left="65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349" w:type="dxa"/>
            <w:vAlign w:val="top"/>
          </w:tcPr>
          <w:p w14:paraId="63CE42F1">
            <w:pPr>
              <w:spacing w:before="148" w:line="186" w:lineRule="auto"/>
              <w:ind w:left="59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873" w:type="dxa"/>
            <w:vAlign w:val="top"/>
          </w:tcPr>
          <w:p w14:paraId="554C96F1">
            <w:pPr>
              <w:tabs>
                <w:tab w:val="left" w:pos="1036"/>
              </w:tabs>
              <w:spacing w:before="16"/>
              <w:ind w:left="834"/>
              <w:rPr>
                <w:rFonts w:ascii="Arial"/>
                <w:sz w:val="21"/>
              </w:rPr>
            </w:pPr>
            <w:r>
              <w:rPr>
                <w:rFonts w:ascii="Arial" w:hAnsi="Arial" w:eastAsia="Arial" w:cs="Arial"/>
                <w:sz w:val="21"/>
                <w:szCs w:val="21"/>
                <w:u w:val="single" w:color="auto"/>
              </w:rPr>
              <w:tab/>
            </w:r>
          </w:p>
        </w:tc>
      </w:tr>
      <w:tr w14:paraId="5FA28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1047" w:type="dxa"/>
            <w:vMerge w:val="restart"/>
            <w:tcBorders>
              <w:bottom w:val="nil"/>
            </w:tcBorders>
            <w:vAlign w:val="top"/>
          </w:tcPr>
          <w:p w14:paraId="64232D66">
            <w:pPr>
              <w:spacing w:line="405" w:lineRule="auto"/>
              <w:rPr>
                <w:rFonts w:ascii="Arial"/>
                <w:sz w:val="21"/>
              </w:rPr>
            </w:pPr>
          </w:p>
          <w:p w14:paraId="079435BD">
            <w:pPr>
              <w:pStyle w:val="6"/>
              <w:spacing w:before="68" w:line="220" w:lineRule="auto"/>
              <w:ind w:left="318"/>
            </w:pPr>
            <w:r>
              <w:rPr>
                <w:spacing w:val="-3"/>
              </w:rPr>
              <w:t>砌块</w:t>
            </w:r>
          </w:p>
        </w:tc>
        <w:tc>
          <w:tcPr>
            <w:tcW w:w="1543" w:type="dxa"/>
            <w:vAlign w:val="top"/>
          </w:tcPr>
          <w:p w14:paraId="6316BF85">
            <w:pPr>
              <w:pStyle w:val="6"/>
              <w:spacing w:before="289" w:line="220" w:lineRule="auto"/>
              <w:ind w:left="251"/>
            </w:pPr>
            <w:r>
              <w:rPr>
                <w:spacing w:val="-2"/>
              </w:rPr>
              <w:t>用于承重墙</w:t>
            </w:r>
          </w:p>
        </w:tc>
        <w:tc>
          <w:tcPr>
            <w:tcW w:w="1229" w:type="dxa"/>
            <w:vAlign w:val="top"/>
          </w:tcPr>
          <w:p w14:paraId="14D87377">
            <w:pPr>
              <w:pStyle w:val="6"/>
              <w:spacing w:before="289" w:line="236" w:lineRule="auto"/>
              <w:ind w:left="424"/>
              <w:rPr>
                <w:rFonts w:ascii="Times New Roman" w:hAnsi="Times New Roman" w:eastAsia="Times New Roman" w:cs="Times New Roman"/>
              </w:rPr>
            </w:pPr>
            <w:r>
              <w:rPr>
                <w:spacing w:val="-8"/>
              </w:rPr>
              <w:t>≤</w:t>
            </w:r>
            <w:r>
              <w:rPr>
                <w:rFonts w:ascii="Times New Roman" w:hAnsi="Times New Roman" w:eastAsia="Times New Roman" w:cs="Times New Roman"/>
                <w:spacing w:val="-8"/>
              </w:rPr>
              <w:t>47</w:t>
            </w:r>
          </w:p>
        </w:tc>
        <w:tc>
          <w:tcPr>
            <w:tcW w:w="1485" w:type="dxa"/>
            <w:vAlign w:val="top"/>
          </w:tcPr>
          <w:p w14:paraId="2252044C">
            <w:pPr>
              <w:spacing w:line="266" w:lineRule="auto"/>
              <w:rPr>
                <w:rFonts w:ascii="Arial"/>
                <w:sz w:val="21"/>
              </w:rPr>
            </w:pPr>
          </w:p>
          <w:p w14:paraId="16AC0BC7">
            <w:pPr>
              <w:spacing w:before="61" w:line="186"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349" w:type="dxa"/>
            <w:vAlign w:val="top"/>
          </w:tcPr>
          <w:p w14:paraId="669CD9EC">
            <w:pPr>
              <w:spacing w:line="266" w:lineRule="auto"/>
              <w:rPr>
                <w:rFonts w:ascii="Arial"/>
                <w:sz w:val="21"/>
              </w:rPr>
            </w:pPr>
          </w:p>
          <w:p w14:paraId="146D53A7">
            <w:pPr>
              <w:spacing w:before="61" w:line="186" w:lineRule="auto"/>
              <w:ind w:left="5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873" w:type="dxa"/>
            <w:vAlign w:val="top"/>
          </w:tcPr>
          <w:p w14:paraId="03CFE4E4">
            <w:pPr>
              <w:pStyle w:val="6"/>
              <w:spacing w:before="110" w:line="265" w:lineRule="auto"/>
              <w:ind w:left="331" w:right="200" w:hanging="125"/>
              <w:rPr>
                <w:rFonts w:ascii="Times New Roman" w:hAnsi="Times New Roman" w:eastAsia="Times New Roman" w:cs="Times New Roman"/>
              </w:rPr>
            </w:pPr>
            <w:r>
              <w:rPr>
                <w:spacing w:val="-2"/>
              </w:rPr>
              <w:t>孔的圆角半径不</w:t>
            </w:r>
            <w:r>
              <w:rPr>
                <w:spacing w:val="3"/>
              </w:rPr>
              <w:t xml:space="preserve"> </w:t>
            </w:r>
            <w:r>
              <w:rPr>
                <w:spacing w:val="-2"/>
              </w:rPr>
              <w:t>应小于</w:t>
            </w:r>
            <w:r>
              <w:rPr>
                <w:spacing w:val="-47"/>
              </w:rPr>
              <w:t xml:space="preserve"> </w:t>
            </w:r>
            <w:r>
              <w:rPr>
                <w:rFonts w:ascii="Times New Roman" w:hAnsi="Times New Roman" w:eastAsia="Times New Roman" w:cs="Times New Roman"/>
                <w:spacing w:val="-2"/>
              </w:rPr>
              <w:t>20mm</w:t>
            </w:r>
          </w:p>
        </w:tc>
      </w:tr>
      <w:tr w14:paraId="399C8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047" w:type="dxa"/>
            <w:vMerge w:val="continue"/>
            <w:tcBorders>
              <w:top w:val="nil"/>
            </w:tcBorders>
            <w:vAlign w:val="top"/>
          </w:tcPr>
          <w:p w14:paraId="68E4BF41">
            <w:pPr>
              <w:rPr>
                <w:rFonts w:ascii="Arial"/>
                <w:sz w:val="21"/>
              </w:rPr>
            </w:pPr>
          </w:p>
        </w:tc>
        <w:tc>
          <w:tcPr>
            <w:tcW w:w="1543" w:type="dxa"/>
            <w:vAlign w:val="top"/>
          </w:tcPr>
          <w:p w14:paraId="76354156">
            <w:pPr>
              <w:pStyle w:val="6"/>
              <w:spacing w:before="113" w:line="217" w:lineRule="auto"/>
              <w:ind w:left="145"/>
            </w:pPr>
            <w:r>
              <w:rPr>
                <w:spacing w:val="-2"/>
              </w:rPr>
              <w:t>用于自承重墙</w:t>
            </w:r>
          </w:p>
        </w:tc>
        <w:tc>
          <w:tcPr>
            <w:tcW w:w="1229" w:type="dxa"/>
            <w:vAlign w:val="top"/>
          </w:tcPr>
          <w:p w14:paraId="294D9A7B">
            <w:pPr>
              <w:tabs>
                <w:tab w:val="left" w:pos="715"/>
              </w:tabs>
              <w:spacing w:before="20"/>
              <w:ind w:left="513"/>
              <w:rPr>
                <w:rFonts w:ascii="Arial"/>
                <w:sz w:val="21"/>
              </w:rPr>
            </w:pPr>
            <w:r>
              <w:rPr>
                <w:rFonts w:ascii="Arial" w:hAnsi="Arial" w:eastAsia="Arial" w:cs="Arial"/>
                <w:sz w:val="21"/>
                <w:szCs w:val="21"/>
                <w:u w:val="single" w:color="auto"/>
              </w:rPr>
              <w:tab/>
            </w:r>
          </w:p>
        </w:tc>
        <w:tc>
          <w:tcPr>
            <w:tcW w:w="1485" w:type="dxa"/>
            <w:vAlign w:val="top"/>
          </w:tcPr>
          <w:p w14:paraId="7693AB09">
            <w:pPr>
              <w:spacing w:before="151" w:line="186" w:lineRule="auto"/>
              <w:ind w:left="65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349" w:type="dxa"/>
            <w:vAlign w:val="top"/>
          </w:tcPr>
          <w:p w14:paraId="5EAB38F4">
            <w:pPr>
              <w:spacing w:before="151" w:line="186" w:lineRule="auto"/>
              <w:ind w:left="59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73" w:type="dxa"/>
            <w:vAlign w:val="top"/>
          </w:tcPr>
          <w:p w14:paraId="4E6AA777">
            <w:pPr>
              <w:tabs>
                <w:tab w:val="left" w:pos="1036"/>
              </w:tabs>
              <w:spacing w:before="20"/>
              <w:ind w:left="834"/>
              <w:rPr>
                <w:rFonts w:ascii="Arial"/>
                <w:sz w:val="21"/>
              </w:rPr>
            </w:pPr>
            <w:r>
              <w:rPr>
                <w:rFonts w:ascii="Arial" w:hAnsi="Arial" w:eastAsia="Arial" w:cs="Arial"/>
                <w:sz w:val="21"/>
                <w:szCs w:val="21"/>
                <w:u w:val="single" w:color="auto"/>
              </w:rPr>
              <w:tab/>
            </w:r>
          </w:p>
        </w:tc>
      </w:tr>
    </w:tbl>
    <w:p w14:paraId="458CB6BE">
      <w:pPr>
        <w:spacing w:before="109" w:line="316" w:lineRule="auto"/>
        <w:ind w:left="13" w:hanging="5"/>
        <w:rPr>
          <w:rFonts w:ascii="宋体" w:hAnsi="宋体" w:eastAsia="宋体" w:cs="宋体"/>
          <w:sz w:val="21"/>
          <w:szCs w:val="21"/>
        </w:rPr>
      </w:pP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 xml:space="preserve">1  </w:t>
      </w:r>
      <w:r>
        <w:rPr>
          <w:rFonts w:ascii="宋体" w:hAnsi="宋体" w:eastAsia="宋体" w:cs="宋体"/>
          <w:strike/>
          <w:spacing w:val="-1"/>
          <w:sz w:val="21"/>
          <w:szCs w:val="21"/>
        </w:rPr>
        <w:t>承重墙体的混凝土多孔砖的孔洞应垂直于铺浆面。当孔的长度与宽度比不小于</w:t>
      </w:r>
      <w:r>
        <w:rPr>
          <w:rFonts w:ascii="宋体" w:hAnsi="宋体" w:eastAsia="宋体" w:cs="宋体"/>
          <w:strike/>
          <w:spacing w:val="-36"/>
          <w:sz w:val="21"/>
          <w:szCs w:val="21"/>
        </w:rPr>
        <w:t xml:space="preserve"> </w:t>
      </w:r>
      <w:r>
        <w:rPr>
          <w:rFonts w:ascii="Times New Roman" w:hAnsi="Times New Roman" w:eastAsia="Times New Roman" w:cs="Times New Roman"/>
          <w:strike/>
          <w:spacing w:val="-1"/>
          <w:sz w:val="21"/>
          <w:szCs w:val="21"/>
        </w:rPr>
        <w:t>2</w:t>
      </w:r>
      <w:r>
        <w:rPr>
          <w:rFonts w:ascii="Times New Roman" w:hAnsi="Times New Roman" w:eastAsia="Times New Roman" w:cs="Times New Roman"/>
          <w:strike/>
          <w:spacing w:val="19"/>
          <w:sz w:val="21"/>
          <w:szCs w:val="21"/>
        </w:rPr>
        <w:t xml:space="preserve"> </w:t>
      </w:r>
      <w:r>
        <w:rPr>
          <w:rFonts w:ascii="宋体" w:hAnsi="宋体" w:eastAsia="宋体" w:cs="宋体"/>
          <w:strike/>
          <w:spacing w:val="-1"/>
          <w:sz w:val="21"/>
          <w:szCs w:val="21"/>
        </w:rPr>
        <w:t>时，外壁的</w:t>
      </w:r>
      <w:r>
        <w:rPr>
          <w:rFonts w:ascii="宋体" w:hAnsi="宋体" w:eastAsia="宋体" w:cs="宋体"/>
          <w:sz w:val="21"/>
          <w:szCs w:val="21"/>
        </w:rPr>
        <w:t xml:space="preserve"> </w:t>
      </w:r>
      <w:r>
        <w:rPr>
          <w:rFonts w:ascii="宋体" w:hAnsi="宋体" w:eastAsia="宋体" w:cs="宋体"/>
          <w:strike/>
          <w:spacing w:val="-2"/>
          <w:sz w:val="21"/>
          <w:szCs w:val="21"/>
        </w:rPr>
        <w:t>厚度不应小于</w:t>
      </w:r>
      <w:r>
        <w:rPr>
          <w:rFonts w:ascii="宋体" w:hAnsi="宋体" w:eastAsia="宋体" w:cs="宋体"/>
          <w:strike/>
          <w:spacing w:val="-28"/>
          <w:sz w:val="21"/>
          <w:szCs w:val="21"/>
        </w:rPr>
        <w:t xml:space="preserve"> </w:t>
      </w:r>
      <w:r>
        <w:rPr>
          <w:rFonts w:ascii="Times New Roman" w:hAnsi="Times New Roman" w:eastAsia="Times New Roman" w:cs="Times New Roman"/>
          <w:strike/>
          <w:spacing w:val="-2"/>
          <w:sz w:val="21"/>
          <w:szCs w:val="21"/>
        </w:rPr>
        <w:t>18mm</w:t>
      </w:r>
      <w:r>
        <w:rPr>
          <w:rFonts w:ascii="宋体" w:hAnsi="宋体" w:eastAsia="宋体" w:cs="宋体"/>
          <w:strike/>
          <w:spacing w:val="-2"/>
          <w:sz w:val="21"/>
          <w:szCs w:val="21"/>
        </w:rPr>
        <w:t>；当孔的长度与宽度比小于</w:t>
      </w:r>
      <w:r>
        <w:rPr>
          <w:rFonts w:ascii="宋体" w:hAnsi="宋体" w:eastAsia="宋体" w:cs="宋体"/>
          <w:strike/>
          <w:spacing w:val="-47"/>
          <w:sz w:val="21"/>
          <w:szCs w:val="21"/>
        </w:rPr>
        <w:t xml:space="preserve"> </w:t>
      </w:r>
      <w:r>
        <w:rPr>
          <w:rFonts w:ascii="Times New Roman" w:hAnsi="Times New Roman" w:eastAsia="Times New Roman" w:cs="Times New Roman"/>
          <w:strike/>
          <w:spacing w:val="-2"/>
          <w:sz w:val="21"/>
          <w:szCs w:val="21"/>
        </w:rPr>
        <w:t>2</w:t>
      </w:r>
      <w:r>
        <w:rPr>
          <w:rFonts w:ascii="Times New Roman" w:hAnsi="Times New Roman" w:eastAsia="Times New Roman" w:cs="Times New Roman"/>
          <w:strike/>
          <w:spacing w:val="19"/>
          <w:sz w:val="21"/>
          <w:szCs w:val="21"/>
        </w:rPr>
        <w:t xml:space="preserve"> </w:t>
      </w:r>
      <w:r>
        <w:rPr>
          <w:rFonts w:ascii="宋体" w:hAnsi="宋体" w:eastAsia="宋体" w:cs="宋体"/>
          <w:strike/>
          <w:spacing w:val="-2"/>
          <w:sz w:val="21"/>
          <w:szCs w:val="21"/>
        </w:rPr>
        <w:t>时，壁</w:t>
      </w:r>
      <w:r>
        <w:rPr>
          <w:rFonts w:ascii="宋体" w:hAnsi="宋体" w:eastAsia="宋体" w:cs="宋体"/>
          <w:strike/>
          <w:spacing w:val="-3"/>
          <w:sz w:val="21"/>
          <w:szCs w:val="21"/>
        </w:rPr>
        <w:t>的厚度不应小于</w:t>
      </w:r>
      <w:r>
        <w:rPr>
          <w:rFonts w:ascii="宋体" w:hAnsi="宋体" w:eastAsia="宋体" w:cs="宋体"/>
          <w:strike/>
          <w:spacing w:val="-28"/>
          <w:sz w:val="21"/>
          <w:szCs w:val="21"/>
        </w:rPr>
        <w:t xml:space="preserve"> </w:t>
      </w:r>
      <w:r>
        <w:rPr>
          <w:rFonts w:ascii="Times New Roman" w:hAnsi="Times New Roman" w:eastAsia="Times New Roman" w:cs="Times New Roman"/>
          <w:strike/>
          <w:spacing w:val="-3"/>
          <w:sz w:val="21"/>
          <w:szCs w:val="21"/>
        </w:rPr>
        <w:t>15mm</w:t>
      </w:r>
      <w:r>
        <w:rPr>
          <w:rFonts w:ascii="Times New Roman" w:hAnsi="Times New Roman" w:eastAsia="Times New Roman" w:cs="Times New Roman"/>
          <w:strike/>
          <w:spacing w:val="-24"/>
          <w:sz w:val="21"/>
          <w:szCs w:val="21"/>
        </w:rPr>
        <w:t xml:space="preserve"> </w:t>
      </w:r>
      <w:r>
        <w:rPr>
          <w:rFonts w:ascii="宋体" w:hAnsi="宋体" w:eastAsia="宋体" w:cs="宋体"/>
          <w:strike/>
          <w:spacing w:val="-3"/>
          <w:sz w:val="21"/>
          <w:szCs w:val="21"/>
        </w:rPr>
        <w:t>。</w:t>
      </w:r>
    </w:p>
    <w:p w14:paraId="7E74E66C">
      <w:pPr>
        <w:tabs>
          <w:tab w:val="left" w:pos="424"/>
        </w:tabs>
        <w:spacing w:line="218" w:lineRule="auto"/>
        <w:rPr>
          <w:rFonts w:ascii="宋体" w:hAnsi="宋体" w:eastAsia="宋体" w:cs="宋体"/>
          <w:sz w:val="21"/>
          <w:szCs w:val="21"/>
        </w:rPr>
      </w:pPr>
      <w:r>
        <w:rPr>
          <w:rFonts w:ascii="Times New Roman" w:hAnsi="Times New Roman" w:eastAsia="Times New Roman" w:cs="Times New Roman"/>
          <w:strike/>
          <w:sz w:val="21"/>
          <w:szCs w:val="21"/>
        </w:rPr>
        <w:tab/>
      </w:r>
      <w:r>
        <w:rPr>
          <w:rFonts w:ascii="Times New Roman" w:hAnsi="Times New Roman" w:eastAsia="Times New Roman" w:cs="Times New Roman"/>
          <w:strike/>
          <w:sz w:val="21"/>
          <w:szCs w:val="21"/>
        </w:rPr>
        <w:t xml:space="preserve">2  </w:t>
      </w:r>
      <w:r>
        <w:rPr>
          <w:rFonts w:ascii="宋体" w:hAnsi="宋体" w:eastAsia="宋体" w:cs="宋体"/>
          <w:strike/>
          <w:sz w:val="21"/>
          <w:szCs w:val="21"/>
        </w:rPr>
        <w:t>承重含孔块材，其长度方向的中部不得设孔，中肋厚度</w:t>
      </w:r>
      <w:r>
        <w:rPr>
          <w:rFonts w:ascii="宋体" w:hAnsi="宋体" w:eastAsia="宋体" w:cs="宋体"/>
          <w:strike/>
          <w:spacing w:val="-1"/>
          <w:sz w:val="21"/>
          <w:szCs w:val="21"/>
        </w:rPr>
        <w:t>不宜小于</w:t>
      </w:r>
      <w:r>
        <w:rPr>
          <w:rFonts w:ascii="宋体" w:hAnsi="宋体" w:eastAsia="宋体" w:cs="宋体"/>
          <w:strike/>
          <w:spacing w:val="-47"/>
          <w:sz w:val="21"/>
          <w:szCs w:val="21"/>
        </w:rPr>
        <w:t xml:space="preserve"> </w:t>
      </w:r>
      <w:r>
        <w:rPr>
          <w:rFonts w:ascii="Times New Roman" w:hAnsi="Times New Roman" w:eastAsia="Times New Roman" w:cs="Times New Roman"/>
          <w:strike/>
          <w:spacing w:val="-1"/>
          <w:sz w:val="21"/>
          <w:szCs w:val="21"/>
        </w:rPr>
        <w:t>20mm</w:t>
      </w:r>
      <w:r>
        <w:rPr>
          <w:rFonts w:ascii="Times New Roman" w:hAnsi="Times New Roman" w:eastAsia="Times New Roman" w:cs="Times New Roman"/>
          <w:strike/>
          <w:spacing w:val="-24"/>
          <w:sz w:val="21"/>
          <w:szCs w:val="21"/>
        </w:rPr>
        <w:t xml:space="preserve"> </w:t>
      </w:r>
      <w:r>
        <w:rPr>
          <w:rFonts w:ascii="宋体" w:hAnsi="宋体" w:eastAsia="宋体" w:cs="宋体"/>
          <w:strike/>
          <w:spacing w:val="-1"/>
          <w:sz w:val="21"/>
          <w:szCs w:val="21"/>
        </w:rPr>
        <w:t>。</w:t>
      </w:r>
    </w:p>
    <w:p w14:paraId="5B5E8B7C">
      <w:pPr>
        <w:spacing w:before="150" w:line="219"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3.2.2    </w:t>
      </w:r>
      <w:r>
        <w:rPr>
          <w:rFonts w:ascii="宋体" w:hAnsi="宋体" w:eastAsia="宋体" w:cs="宋体"/>
          <w:strike/>
          <w:spacing w:val="-1"/>
          <w:sz w:val="24"/>
          <w:szCs w:val="24"/>
        </w:rPr>
        <w:t>块体材料强度登记应符合下列规定：</w:t>
      </w:r>
    </w:p>
    <w:p w14:paraId="3FD5FE93">
      <w:pPr>
        <w:spacing w:before="154" w:line="220" w:lineRule="auto"/>
        <w:ind w:left="50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产品标准除应给出抗压强度等级外，尚应给出其变异系数的限值；</w:t>
      </w:r>
    </w:p>
    <w:p w14:paraId="14E8A0FA">
      <w:pPr>
        <w:spacing w:before="155" w:line="220" w:lineRule="auto"/>
        <w:ind w:left="485"/>
        <w:rPr>
          <w:rFonts w:ascii="宋体" w:hAnsi="宋体" w:eastAsia="宋体" w:cs="宋体"/>
          <w:sz w:val="24"/>
          <w:szCs w:val="24"/>
        </w:rPr>
      </w:pP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承重砖的折压比不应小于表</w:t>
      </w:r>
      <w:r>
        <w:rPr>
          <w:rFonts w:ascii="宋体" w:hAnsi="宋体" w:eastAsia="宋体" w:cs="宋体"/>
          <w:strike/>
          <w:spacing w:val="-36"/>
          <w:sz w:val="24"/>
          <w:szCs w:val="24"/>
        </w:rPr>
        <w:t xml:space="preserve"> </w:t>
      </w:r>
      <w:r>
        <w:rPr>
          <w:rFonts w:ascii="Times New Roman" w:hAnsi="Times New Roman" w:eastAsia="Times New Roman" w:cs="Times New Roman"/>
          <w:strike/>
          <w:spacing w:val="-2"/>
          <w:sz w:val="24"/>
          <w:szCs w:val="24"/>
        </w:rPr>
        <w:t>3</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2-1</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的要求；</w:t>
      </w:r>
    </w:p>
    <w:p w14:paraId="51991F0C">
      <w:pPr>
        <w:spacing w:before="180" w:line="220" w:lineRule="auto"/>
        <w:ind w:left="3484"/>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2"/>
          <w:sz w:val="21"/>
          <w:szCs w:val="21"/>
        </w:rPr>
        <w:t xml:space="preserve"> </w:t>
      </w:r>
      <w:r>
        <w:rPr>
          <w:rFonts w:ascii="Times New Roman" w:hAnsi="Times New Roman" w:eastAsia="Times New Roman" w:cs="Times New Roman"/>
          <w:spacing w:val="-1"/>
          <w:sz w:val="21"/>
          <w:szCs w:val="21"/>
        </w:rPr>
        <w:t xml:space="preserve">3.2.2-1    </w:t>
      </w:r>
      <w:r>
        <w:rPr>
          <w:rFonts w:ascii="宋体" w:hAnsi="宋体" w:eastAsia="宋体" w:cs="宋体"/>
          <w:spacing w:val="-1"/>
          <w:sz w:val="21"/>
          <w:szCs w:val="21"/>
        </w:rPr>
        <w:t>承重砖的折压比</w:t>
      </w:r>
    </w:p>
    <w:p w14:paraId="3C8709F7">
      <w:pPr>
        <w:spacing w:line="18" w:lineRule="exact"/>
      </w:pPr>
    </w:p>
    <w:tbl>
      <w:tblPr>
        <w:tblStyle w:val="5"/>
        <w:tblW w:w="8690" w:type="dxa"/>
        <w:tblInd w:w="19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4"/>
        <w:gridCol w:w="1216"/>
        <w:gridCol w:w="1218"/>
        <w:gridCol w:w="1216"/>
        <w:gridCol w:w="1217"/>
        <w:gridCol w:w="1217"/>
        <w:gridCol w:w="1222"/>
      </w:tblGrid>
      <w:tr w14:paraId="658E3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384" w:type="dxa"/>
            <w:vMerge w:val="restart"/>
            <w:tcBorders>
              <w:bottom w:val="nil"/>
            </w:tcBorders>
            <w:vAlign w:val="top"/>
          </w:tcPr>
          <w:p w14:paraId="77514425">
            <w:pPr>
              <w:spacing w:line="410" w:lineRule="auto"/>
              <w:rPr>
                <w:rFonts w:ascii="Arial"/>
                <w:sz w:val="21"/>
              </w:rPr>
            </w:pPr>
          </w:p>
          <w:p w14:paraId="7D3D7561">
            <w:pPr>
              <w:pStyle w:val="6"/>
              <w:spacing w:before="68" w:line="220" w:lineRule="auto"/>
              <w:ind w:left="382"/>
            </w:pPr>
            <w:r>
              <w:rPr>
                <w:spacing w:val="-2"/>
              </w:rPr>
              <w:t>砖种类</w:t>
            </w:r>
          </w:p>
        </w:tc>
        <w:tc>
          <w:tcPr>
            <w:tcW w:w="1216" w:type="dxa"/>
            <w:vMerge w:val="restart"/>
            <w:tcBorders>
              <w:bottom w:val="nil"/>
            </w:tcBorders>
            <w:vAlign w:val="top"/>
          </w:tcPr>
          <w:p w14:paraId="37EAC7D7">
            <w:pPr>
              <w:pStyle w:val="6"/>
              <w:spacing w:before="301" w:line="220" w:lineRule="auto"/>
              <w:ind w:left="407"/>
            </w:pPr>
            <w:r>
              <w:rPr>
                <w:spacing w:val="-4"/>
              </w:rPr>
              <w:t>高度</w:t>
            </w:r>
          </w:p>
          <w:p w14:paraId="4EAF8082">
            <w:pPr>
              <w:pStyle w:val="6"/>
              <w:spacing w:before="109" w:line="232" w:lineRule="auto"/>
              <w:ind w:left="244"/>
            </w:pPr>
            <w:r>
              <w:rPr>
                <w:spacing w:val="-4"/>
              </w:rPr>
              <w:t>（</w:t>
            </w:r>
            <w:r>
              <w:rPr>
                <w:rFonts w:ascii="Times New Roman" w:hAnsi="Times New Roman" w:eastAsia="Times New Roman" w:cs="Times New Roman"/>
                <w:spacing w:val="-4"/>
              </w:rPr>
              <w:t>mm</w:t>
            </w:r>
            <w:r>
              <w:rPr>
                <w:spacing w:val="-4"/>
              </w:rPr>
              <w:t>）</w:t>
            </w:r>
          </w:p>
        </w:tc>
        <w:tc>
          <w:tcPr>
            <w:tcW w:w="6090" w:type="dxa"/>
            <w:gridSpan w:val="5"/>
            <w:vAlign w:val="top"/>
          </w:tcPr>
          <w:p w14:paraId="106FF63D">
            <w:pPr>
              <w:pStyle w:val="6"/>
              <w:spacing w:before="112" w:line="216" w:lineRule="auto"/>
              <w:ind w:left="2523"/>
            </w:pPr>
            <w:r>
              <w:rPr>
                <w:spacing w:val="-2"/>
              </w:rPr>
              <w:t>砖强度等级</w:t>
            </w:r>
          </w:p>
        </w:tc>
      </w:tr>
      <w:tr w14:paraId="3083A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84" w:type="dxa"/>
            <w:vMerge w:val="continue"/>
            <w:tcBorders>
              <w:top w:val="nil"/>
              <w:bottom w:val="nil"/>
            </w:tcBorders>
            <w:vAlign w:val="top"/>
          </w:tcPr>
          <w:p w14:paraId="0567FAD7">
            <w:pPr>
              <w:rPr>
                <w:rFonts w:ascii="Arial"/>
                <w:sz w:val="21"/>
              </w:rPr>
            </w:pPr>
          </w:p>
        </w:tc>
        <w:tc>
          <w:tcPr>
            <w:tcW w:w="1216" w:type="dxa"/>
            <w:vMerge w:val="continue"/>
            <w:tcBorders>
              <w:top w:val="nil"/>
              <w:bottom w:val="nil"/>
            </w:tcBorders>
            <w:vAlign w:val="top"/>
          </w:tcPr>
          <w:p w14:paraId="57B5DC5B">
            <w:pPr>
              <w:rPr>
                <w:rFonts w:ascii="Arial"/>
                <w:sz w:val="21"/>
              </w:rPr>
            </w:pPr>
          </w:p>
        </w:tc>
        <w:tc>
          <w:tcPr>
            <w:tcW w:w="1218" w:type="dxa"/>
            <w:vAlign w:val="top"/>
          </w:tcPr>
          <w:p w14:paraId="7FC3E19A">
            <w:pPr>
              <w:spacing w:before="147" w:line="186"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MU30</w:t>
            </w:r>
          </w:p>
        </w:tc>
        <w:tc>
          <w:tcPr>
            <w:tcW w:w="1216" w:type="dxa"/>
            <w:vAlign w:val="top"/>
          </w:tcPr>
          <w:p w14:paraId="6E93F2E2">
            <w:pPr>
              <w:spacing w:before="147" w:line="186"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MU25</w:t>
            </w:r>
          </w:p>
        </w:tc>
        <w:tc>
          <w:tcPr>
            <w:tcW w:w="1217" w:type="dxa"/>
            <w:vAlign w:val="top"/>
          </w:tcPr>
          <w:p w14:paraId="77DEA14F">
            <w:pPr>
              <w:spacing w:before="147" w:line="186"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MU20</w:t>
            </w:r>
          </w:p>
        </w:tc>
        <w:tc>
          <w:tcPr>
            <w:tcW w:w="1217" w:type="dxa"/>
            <w:vAlign w:val="top"/>
          </w:tcPr>
          <w:p w14:paraId="6A8EACD6">
            <w:pPr>
              <w:spacing w:before="147" w:line="186"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MU15</w:t>
            </w:r>
          </w:p>
        </w:tc>
        <w:tc>
          <w:tcPr>
            <w:tcW w:w="1222" w:type="dxa"/>
            <w:vAlign w:val="top"/>
          </w:tcPr>
          <w:p w14:paraId="083EAA41">
            <w:pPr>
              <w:spacing w:before="147" w:line="18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MU10</w:t>
            </w:r>
          </w:p>
        </w:tc>
      </w:tr>
      <w:tr w14:paraId="7DBF0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384" w:type="dxa"/>
            <w:vMerge w:val="continue"/>
            <w:tcBorders>
              <w:top w:val="nil"/>
            </w:tcBorders>
            <w:vAlign w:val="top"/>
          </w:tcPr>
          <w:p w14:paraId="2997F8FB">
            <w:pPr>
              <w:rPr>
                <w:rFonts w:ascii="Arial"/>
                <w:sz w:val="21"/>
              </w:rPr>
            </w:pPr>
          </w:p>
        </w:tc>
        <w:tc>
          <w:tcPr>
            <w:tcW w:w="1216" w:type="dxa"/>
            <w:vMerge w:val="continue"/>
            <w:tcBorders>
              <w:top w:val="nil"/>
            </w:tcBorders>
            <w:vAlign w:val="top"/>
          </w:tcPr>
          <w:p w14:paraId="7E9A6083">
            <w:pPr>
              <w:rPr>
                <w:rFonts w:ascii="Arial"/>
                <w:sz w:val="21"/>
              </w:rPr>
            </w:pPr>
          </w:p>
        </w:tc>
        <w:tc>
          <w:tcPr>
            <w:tcW w:w="6090" w:type="dxa"/>
            <w:gridSpan w:val="5"/>
            <w:vAlign w:val="top"/>
          </w:tcPr>
          <w:p w14:paraId="1CED8411">
            <w:pPr>
              <w:pStyle w:val="6"/>
              <w:spacing w:before="111" w:line="214" w:lineRule="auto"/>
              <w:ind w:left="2735"/>
            </w:pPr>
            <w:r>
              <w:rPr>
                <w:spacing w:val="-3"/>
              </w:rPr>
              <w:t>折压比</w:t>
            </w:r>
          </w:p>
        </w:tc>
      </w:tr>
      <w:tr w14:paraId="63686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84" w:type="dxa"/>
            <w:vAlign w:val="top"/>
          </w:tcPr>
          <w:p w14:paraId="00429709">
            <w:pPr>
              <w:pStyle w:val="6"/>
              <w:spacing w:before="111" w:line="213" w:lineRule="auto"/>
              <w:ind w:left="174"/>
            </w:pPr>
            <w:r>
              <w:rPr>
                <w:spacing w:val="-2"/>
              </w:rPr>
              <w:t>蒸压普通砖</w:t>
            </w:r>
          </w:p>
        </w:tc>
        <w:tc>
          <w:tcPr>
            <w:tcW w:w="1216" w:type="dxa"/>
            <w:vAlign w:val="top"/>
          </w:tcPr>
          <w:p w14:paraId="3368634E">
            <w:pPr>
              <w:spacing w:before="149" w:line="186" w:lineRule="auto"/>
              <w:ind w:left="50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53</w:t>
            </w:r>
          </w:p>
        </w:tc>
        <w:tc>
          <w:tcPr>
            <w:tcW w:w="1218" w:type="dxa"/>
            <w:vAlign w:val="top"/>
          </w:tcPr>
          <w:p w14:paraId="463E049E">
            <w:pPr>
              <w:spacing w:before="149" w:line="186" w:lineRule="auto"/>
              <w:ind w:left="42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0.16</w:t>
            </w:r>
          </w:p>
        </w:tc>
        <w:tc>
          <w:tcPr>
            <w:tcW w:w="1216" w:type="dxa"/>
            <w:vAlign w:val="top"/>
          </w:tcPr>
          <w:p w14:paraId="063C3846">
            <w:pPr>
              <w:spacing w:before="149" w:line="186" w:lineRule="auto"/>
              <w:ind w:left="4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0.18</w:t>
            </w:r>
          </w:p>
        </w:tc>
        <w:tc>
          <w:tcPr>
            <w:tcW w:w="1217" w:type="dxa"/>
            <w:vAlign w:val="top"/>
          </w:tcPr>
          <w:p w14:paraId="489AC9C3">
            <w:pPr>
              <w:spacing w:before="149" w:line="186"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0.20</w:t>
            </w:r>
          </w:p>
        </w:tc>
        <w:tc>
          <w:tcPr>
            <w:tcW w:w="1217" w:type="dxa"/>
            <w:vAlign w:val="top"/>
          </w:tcPr>
          <w:p w14:paraId="237BA2A5">
            <w:pPr>
              <w:spacing w:before="149" w:line="186" w:lineRule="auto"/>
              <w:ind w:left="4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0.25</w:t>
            </w:r>
          </w:p>
        </w:tc>
        <w:tc>
          <w:tcPr>
            <w:tcW w:w="1222" w:type="dxa"/>
            <w:vAlign w:val="top"/>
          </w:tcPr>
          <w:p w14:paraId="11BBF309">
            <w:pPr>
              <w:pStyle w:val="6"/>
              <w:spacing w:before="211" w:line="141" w:lineRule="exact"/>
              <w:ind w:left="509"/>
            </w:pPr>
            <w:r>
              <w:rPr>
                <w:position w:val="-10"/>
              </w:rPr>
              <w:t>—</w:t>
            </w:r>
          </w:p>
        </w:tc>
      </w:tr>
      <w:tr w14:paraId="4641E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384" w:type="dxa"/>
            <w:vAlign w:val="top"/>
          </w:tcPr>
          <w:p w14:paraId="661566F5">
            <w:pPr>
              <w:pStyle w:val="6"/>
              <w:spacing w:before="112" w:line="217" w:lineRule="auto"/>
              <w:ind w:left="392"/>
            </w:pPr>
            <w:r>
              <w:rPr>
                <w:spacing w:val="-5"/>
              </w:rPr>
              <w:t>多孔砖</w:t>
            </w:r>
          </w:p>
        </w:tc>
        <w:tc>
          <w:tcPr>
            <w:tcW w:w="1216" w:type="dxa"/>
            <w:vAlign w:val="top"/>
          </w:tcPr>
          <w:p w14:paraId="243BCE06">
            <w:pPr>
              <w:spacing w:before="150" w:line="186" w:lineRule="auto"/>
              <w:ind w:left="5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90</w:t>
            </w:r>
          </w:p>
        </w:tc>
        <w:tc>
          <w:tcPr>
            <w:tcW w:w="1218" w:type="dxa"/>
            <w:vAlign w:val="top"/>
          </w:tcPr>
          <w:p w14:paraId="6CEC5E1F">
            <w:pPr>
              <w:spacing w:before="150" w:line="186"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0.21</w:t>
            </w:r>
          </w:p>
        </w:tc>
        <w:tc>
          <w:tcPr>
            <w:tcW w:w="1216" w:type="dxa"/>
            <w:vAlign w:val="top"/>
          </w:tcPr>
          <w:p w14:paraId="59D73205">
            <w:pPr>
              <w:spacing w:before="150" w:line="186" w:lineRule="auto"/>
              <w:ind w:left="4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0.23</w:t>
            </w:r>
          </w:p>
        </w:tc>
        <w:tc>
          <w:tcPr>
            <w:tcW w:w="1217" w:type="dxa"/>
            <w:vAlign w:val="top"/>
          </w:tcPr>
          <w:p w14:paraId="62C10AA0">
            <w:pPr>
              <w:spacing w:before="150" w:line="186"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0.24</w:t>
            </w:r>
          </w:p>
        </w:tc>
        <w:tc>
          <w:tcPr>
            <w:tcW w:w="1217" w:type="dxa"/>
            <w:vAlign w:val="top"/>
          </w:tcPr>
          <w:p w14:paraId="0FB62A87">
            <w:pPr>
              <w:spacing w:before="150" w:line="186" w:lineRule="auto"/>
              <w:ind w:left="4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0.27</w:t>
            </w:r>
          </w:p>
        </w:tc>
        <w:tc>
          <w:tcPr>
            <w:tcW w:w="1222" w:type="dxa"/>
            <w:vAlign w:val="top"/>
          </w:tcPr>
          <w:p w14:paraId="0206DC35">
            <w:pPr>
              <w:spacing w:before="150" w:line="186" w:lineRule="auto"/>
              <w:ind w:left="43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0.32</w:t>
            </w:r>
          </w:p>
        </w:tc>
      </w:tr>
    </w:tbl>
    <w:p w14:paraId="53523595">
      <w:pPr>
        <w:spacing w:before="146" w:line="280" w:lineRule="auto"/>
        <w:ind w:left="9" w:right="150"/>
        <w:rPr>
          <w:rFonts w:ascii="宋体" w:hAnsi="宋体" w:eastAsia="宋体" w:cs="宋体"/>
          <w:sz w:val="24"/>
          <w:szCs w:val="24"/>
        </w:rPr>
      </w:pPr>
      <w:r>
        <w:rPr>
          <w:rFonts w:ascii="Times New Roman" w:hAnsi="Times New Roman" w:eastAsia="Times New Roman" w:cs="Times New Roman"/>
          <w:strike/>
          <w:sz w:val="24"/>
          <w:szCs w:val="24"/>
        </w:rPr>
        <w:t xml:space="preserve">3.4.1    </w:t>
      </w:r>
      <w:r>
        <w:rPr>
          <w:rFonts w:ascii="宋体" w:hAnsi="宋体" w:eastAsia="宋体" w:cs="宋体"/>
          <w:strike/>
          <w:sz w:val="24"/>
          <w:szCs w:val="24"/>
        </w:rPr>
        <w:t>设计有抗冻性要求的墙体时，砂浆应进行冻融试验，</w:t>
      </w:r>
      <w:r>
        <w:rPr>
          <w:rFonts w:ascii="宋体" w:hAnsi="宋体" w:eastAsia="宋体" w:cs="宋体"/>
          <w:strike/>
          <w:spacing w:val="-1"/>
          <w:sz w:val="24"/>
          <w:szCs w:val="24"/>
        </w:rPr>
        <w:t>其抗冻性能应与墙体块材</w:t>
      </w:r>
      <w:r>
        <w:rPr>
          <w:rFonts w:ascii="宋体" w:hAnsi="宋体" w:eastAsia="宋体" w:cs="宋体"/>
          <w:sz w:val="24"/>
          <w:szCs w:val="24"/>
        </w:rPr>
        <w:t xml:space="preserve"> </w:t>
      </w:r>
      <w:r>
        <w:rPr>
          <w:rFonts w:ascii="宋体" w:hAnsi="宋体" w:eastAsia="宋体" w:cs="宋体"/>
          <w:strike/>
          <w:spacing w:val="-3"/>
          <w:sz w:val="24"/>
          <w:szCs w:val="24"/>
        </w:rPr>
        <w:t>相同。</w:t>
      </w:r>
    </w:p>
    <w:p w14:paraId="69D40272">
      <w:pPr>
        <w:spacing w:before="153" w:line="279" w:lineRule="auto"/>
        <w:ind w:left="8" w:right="390" w:hanging="5"/>
        <w:rPr>
          <w:rFonts w:ascii="宋体" w:hAnsi="宋体" w:eastAsia="宋体" w:cs="宋体"/>
          <w:sz w:val="24"/>
          <w:szCs w:val="24"/>
        </w:rPr>
      </w:pPr>
      <w:r>
        <w:rPr>
          <w:rFonts w:ascii="Times New Roman" w:hAnsi="Times New Roman" w:eastAsia="Times New Roman" w:cs="Times New Roman"/>
          <w:sz w:val="24"/>
          <w:szCs w:val="24"/>
        </w:rPr>
        <w:t xml:space="preserve">4.1.8    </w:t>
      </w:r>
      <w:r>
        <w:rPr>
          <w:rFonts w:ascii="宋体" w:hAnsi="宋体" w:eastAsia="宋体" w:cs="宋体"/>
          <w:sz w:val="24"/>
          <w:szCs w:val="24"/>
        </w:rPr>
        <w:t>建筑设计不得采用含有石棉纤维、未经防腐和防虫蛀处理的植物</w:t>
      </w:r>
      <w:r>
        <w:rPr>
          <w:rFonts w:ascii="宋体" w:hAnsi="宋体" w:eastAsia="宋体" w:cs="宋体"/>
          <w:spacing w:val="-1"/>
          <w:sz w:val="24"/>
          <w:szCs w:val="24"/>
        </w:rPr>
        <w:t>纤维墙体材</w:t>
      </w:r>
      <w:r>
        <w:rPr>
          <w:rFonts w:ascii="宋体" w:hAnsi="宋体" w:eastAsia="宋体" w:cs="宋体"/>
          <w:sz w:val="24"/>
          <w:szCs w:val="24"/>
        </w:rPr>
        <w:t xml:space="preserve"> </w:t>
      </w:r>
      <w:r>
        <w:rPr>
          <w:rFonts w:ascii="宋体" w:hAnsi="宋体" w:eastAsia="宋体" w:cs="宋体"/>
          <w:spacing w:val="-12"/>
          <w:sz w:val="24"/>
          <w:szCs w:val="24"/>
        </w:rPr>
        <w:t>料。</w:t>
      </w:r>
    </w:p>
    <w:p w14:paraId="0999F7C7">
      <w:pPr>
        <w:spacing w:before="153" w:line="220" w:lineRule="auto"/>
        <w:ind w:left="11"/>
        <w:rPr>
          <w:rFonts w:ascii="宋体" w:hAnsi="宋体" w:eastAsia="宋体" w:cs="宋体"/>
          <w:sz w:val="24"/>
          <w:szCs w:val="24"/>
        </w:rPr>
      </w:pPr>
      <w:r>
        <w:rPr>
          <w:rFonts w:ascii="Times New Roman" w:hAnsi="Times New Roman" w:eastAsia="Times New Roman" w:cs="Times New Roman"/>
          <w:strike/>
          <w:spacing w:val="-1"/>
          <w:sz w:val="24"/>
          <w:szCs w:val="24"/>
        </w:rPr>
        <w:t xml:space="preserve">5.4.2    </w:t>
      </w:r>
      <w:r>
        <w:rPr>
          <w:rFonts w:ascii="宋体" w:hAnsi="宋体" w:eastAsia="宋体" w:cs="宋体"/>
          <w:strike/>
          <w:spacing w:val="-1"/>
          <w:sz w:val="24"/>
          <w:szCs w:val="24"/>
        </w:rPr>
        <w:t>夹心保温复合墙应进行抗风设计。</w:t>
      </w:r>
    </w:p>
    <w:p w14:paraId="2781B079">
      <w:pPr>
        <w:spacing w:line="220" w:lineRule="auto"/>
        <w:rPr>
          <w:rFonts w:ascii="宋体" w:hAnsi="宋体" w:eastAsia="宋体" w:cs="宋体"/>
          <w:sz w:val="24"/>
          <w:szCs w:val="24"/>
        </w:rPr>
        <w:sectPr>
          <w:footerReference r:id="rId24" w:type="default"/>
          <w:pgSz w:w="11907" w:h="16839"/>
          <w:pgMar w:top="400" w:right="1459" w:bottom="743" w:left="1417" w:header="0" w:footer="582" w:gutter="0"/>
          <w:cols w:space="720" w:num="1"/>
        </w:sectPr>
      </w:pPr>
    </w:p>
    <w:p w14:paraId="2885C819">
      <w:pPr>
        <w:pStyle w:val="2"/>
        <w:spacing w:line="303" w:lineRule="auto"/>
      </w:pPr>
    </w:p>
    <w:p w14:paraId="0417152B">
      <w:pPr>
        <w:pStyle w:val="2"/>
        <w:spacing w:line="303" w:lineRule="auto"/>
      </w:pPr>
    </w:p>
    <w:p w14:paraId="1BB59772">
      <w:pPr>
        <w:pStyle w:val="2"/>
        <w:spacing w:line="303" w:lineRule="auto"/>
      </w:pPr>
    </w:p>
    <w:p w14:paraId="7667A6B5">
      <w:pPr>
        <w:spacing w:before="78"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5.4.3    </w:t>
      </w:r>
      <w:r>
        <w:rPr>
          <w:rFonts w:ascii="宋体" w:hAnsi="宋体" w:eastAsia="宋体" w:cs="宋体"/>
          <w:strike/>
          <w:sz w:val="24"/>
          <w:szCs w:val="24"/>
        </w:rPr>
        <w:t>外墙板应进行抗风及连接设计，板</w:t>
      </w:r>
      <w:r>
        <w:rPr>
          <w:rFonts w:ascii="宋体" w:hAnsi="宋体" w:eastAsia="宋体" w:cs="宋体"/>
          <w:strike/>
          <w:spacing w:val="-1"/>
          <w:sz w:val="24"/>
          <w:szCs w:val="24"/>
        </w:rPr>
        <w:t>材与主体结构应柔性连接。</w:t>
      </w:r>
    </w:p>
    <w:p w14:paraId="338D09D7">
      <w:pPr>
        <w:spacing w:before="155"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5.5.2    </w:t>
      </w:r>
      <w:r>
        <w:rPr>
          <w:rFonts w:ascii="宋体" w:hAnsi="宋体" w:eastAsia="宋体" w:cs="宋体"/>
          <w:strike/>
          <w:sz w:val="24"/>
          <w:szCs w:val="24"/>
        </w:rPr>
        <w:t>外墙板与主体结构连接件承载力</w:t>
      </w:r>
      <w:r>
        <w:rPr>
          <w:rFonts w:ascii="宋体" w:hAnsi="宋体" w:eastAsia="宋体" w:cs="宋体"/>
          <w:strike/>
          <w:spacing w:val="-1"/>
          <w:sz w:val="24"/>
          <w:szCs w:val="24"/>
        </w:rPr>
        <w:t>设计的安全等级应提高</w:t>
      </w:r>
      <w:r>
        <w:rPr>
          <w:rFonts w:ascii="宋体" w:hAnsi="宋体" w:eastAsia="宋体" w:cs="宋体"/>
          <w:spacing w:val="-1"/>
          <w:sz w:val="24"/>
          <w:szCs w:val="24"/>
        </w:rPr>
        <w:t>一</w:t>
      </w:r>
      <w:r>
        <w:rPr>
          <w:rFonts w:ascii="宋体" w:hAnsi="宋体" w:eastAsia="宋体" w:cs="宋体"/>
          <w:strike/>
          <w:spacing w:val="-1"/>
          <w:sz w:val="24"/>
          <w:szCs w:val="24"/>
        </w:rPr>
        <w:t>级。</w:t>
      </w:r>
    </w:p>
    <w:p w14:paraId="76EDC094">
      <w:pPr>
        <w:spacing w:before="154" w:line="279" w:lineRule="auto"/>
        <w:ind w:left="5" w:right="147"/>
        <w:rPr>
          <w:rFonts w:ascii="宋体" w:hAnsi="宋体" w:eastAsia="宋体" w:cs="宋体"/>
          <w:sz w:val="24"/>
          <w:szCs w:val="24"/>
        </w:rPr>
      </w:pPr>
      <w:r>
        <w:rPr>
          <w:rFonts w:ascii="Times New Roman" w:hAnsi="Times New Roman" w:eastAsia="Times New Roman" w:cs="Times New Roman"/>
          <w:b/>
          <w:bCs/>
          <w:color w:val="0070C0"/>
          <w:spacing w:val="-1"/>
          <w:sz w:val="24"/>
          <w:szCs w:val="24"/>
        </w:rPr>
        <w:t xml:space="preserve">6.1.9    </w:t>
      </w:r>
      <w:r>
        <w:rPr>
          <w:rFonts w:ascii="宋体" w:hAnsi="宋体" w:eastAsia="宋体" w:cs="宋体"/>
          <w:b/>
          <w:bCs/>
          <w:color w:val="0070C0"/>
          <w:spacing w:val="-1"/>
          <w:sz w:val="24"/>
          <w:szCs w:val="24"/>
        </w:rPr>
        <w:t>外保温复合墙的饰面层选用非</w:t>
      </w:r>
      <w:r>
        <w:rPr>
          <w:rFonts w:ascii="宋体" w:hAnsi="宋体" w:eastAsia="宋体" w:cs="宋体"/>
          <w:b/>
          <w:bCs/>
          <w:color w:val="0070C0"/>
          <w:spacing w:val="-2"/>
          <w:sz w:val="24"/>
          <w:szCs w:val="24"/>
        </w:rPr>
        <w:t>薄抹灰时，应对由饰面层自重累积作用所产生的</w:t>
      </w:r>
      <w:r>
        <w:rPr>
          <w:rFonts w:ascii="宋体" w:hAnsi="宋体" w:eastAsia="宋体" w:cs="宋体"/>
          <w:color w:val="0070C0"/>
          <w:sz w:val="24"/>
          <w:szCs w:val="24"/>
        </w:rPr>
        <w:t xml:space="preserve"> </w:t>
      </w:r>
      <w:r>
        <w:rPr>
          <w:rFonts w:ascii="宋体" w:hAnsi="宋体" w:eastAsia="宋体" w:cs="宋体"/>
          <w:b/>
          <w:bCs/>
          <w:color w:val="0070C0"/>
          <w:spacing w:val="-3"/>
          <w:sz w:val="24"/>
          <w:szCs w:val="24"/>
        </w:rPr>
        <w:t>变形影响采取构造措施。</w:t>
      </w:r>
    </w:p>
    <w:p w14:paraId="5DF0D292">
      <w:pPr>
        <w:spacing w:before="155" w:line="219" w:lineRule="auto"/>
        <w:ind w:left="5"/>
        <w:rPr>
          <w:rFonts w:ascii="宋体" w:hAnsi="宋体" w:eastAsia="宋体" w:cs="宋体"/>
          <w:sz w:val="24"/>
          <w:szCs w:val="24"/>
        </w:rPr>
      </w:pPr>
      <w:r>
        <w:rPr>
          <w:rFonts w:ascii="Times New Roman" w:hAnsi="Times New Roman" w:eastAsia="Times New Roman" w:cs="Times New Roman"/>
          <w:b/>
          <w:bCs/>
          <w:color w:val="0070C0"/>
          <w:spacing w:val="-2"/>
          <w:sz w:val="24"/>
          <w:szCs w:val="24"/>
        </w:rPr>
        <w:t xml:space="preserve">6.1.10    </w:t>
      </w:r>
      <w:r>
        <w:rPr>
          <w:rFonts w:ascii="宋体" w:hAnsi="宋体" w:eastAsia="宋体" w:cs="宋体"/>
          <w:b/>
          <w:bCs/>
          <w:color w:val="0070C0"/>
          <w:spacing w:val="-2"/>
          <w:sz w:val="24"/>
          <w:szCs w:val="24"/>
        </w:rPr>
        <w:t>内保温复合墙与梁、柱相接触部位，应采取防裂</w:t>
      </w:r>
      <w:r>
        <w:rPr>
          <w:rFonts w:ascii="宋体" w:hAnsi="宋体" w:eastAsia="宋体" w:cs="宋体"/>
          <w:b/>
          <w:bCs/>
          <w:color w:val="0070C0"/>
          <w:spacing w:val="-3"/>
          <w:sz w:val="24"/>
          <w:szCs w:val="24"/>
        </w:rPr>
        <w:t>措施。</w:t>
      </w:r>
    </w:p>
    <w:p w14:paraId="5C79D6CD">
      <w:pPr>
        <w:spacing w:before="202" w:line="226" w:lineRule="auto"/>
        <w:ind w:left="14"/>
        <w:outlineLvl w:val="1"/>
        <w:rPr>
          <w:rFonts w:ascii="宋体" w:hAnsi="宋体" w:eastAsia="宋体" w:cs="宋体"/>
          <w:sz w:val="27"/>
          <w:szCs w:val="27"/>
        </w:rPr>
      </w:pPr>
      <w:bookmarkStart w:id="25" w:name="bookmark74"/>
      <w:bookmarkEnd w:id="25"/>
      <w:r>
        <w:rPr>
          <w:rFonts w:ascii="Times New Roman" w:hAnsi="Times New Roman" w:eastAsia="Times New Roman" w:cs="Times New Roman"/>
          <w:b/>
          <w:bCs/>
          <w:spacing w:val="5"/>
          <w:sz w:val="27"/>
          <w:szCs w:val="27"/>
        </w:rPr>
        <w:t>10.</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5"/>
          <w:sz w:val="27"/>
          <w:szCs w:val="27"/>
        </w:rPr>
        <w:t xml:space="preserve">50591-2010  </w:t>
      </w:r>
      <w:r>
        <w:rPr>
          <w:rFonts w:ascii="宋体" w:hAnsi="宋体" w:eastAsia="宋体" w:cs="宋体"/>
          <w:b/>
          <w:bCs/>
          <w:spacing w:val="5"/>
          <w:sz w:val="27"/>
          <w:szCs w:val="27"/>
        </w:rPr>
        <w:t>洁净室施工及验收规范</w:t>
      </w:r>
    </w:p>
    <w:p w14:paraId="5AD513D1">
      <w:pPr>
        <w:spacing w:before="287" w:line="278" w:lineRule="auto"/>
        <w:ind w:left="20" w:right="68" w:hanging="21"/>
        <w:rPr>
          <w:rFonts w:ascii="宋体" w:hAnsi="宋体" w:eastAsia="宋体" w:cs="宋体"/>
          <w:sz w:val="24"/>
          <w:szCs w:val="24"/>
        </w:rPr>
      </w:pPr>
      <w:r>
        <w:rPr>
          <w:rFonts w:ascii="Times New Roman" w:hAnsi="Times New Roman" w:eastAsia="Times New Roman" w:cs="Times New Roman"/>
          <w:sz w:val="24"/>
          <w:szCs w:val="24"/>
        </w:rPr>
        <w:t xml:space="preserve">4.6.11    </w:t>
      </w:r>
      <w:r>
        <w:rPr>
          <w:rFonts w:ascii="宋体" w:hAnsi="宋体" w:eastAsia="宋体" w:cs="宋体"/>
          <w:sz w:val="24"/>
          <w:szCs w:val="24"/>
        </w:rPr>
        <w:t>产生化学、放射、微生物等有害气溶胶或易燃</w:t>
      </w:r>
      <w:r>
        <w:rPr>
          <w:rFonts w:ascii="宋体" w:hAnsi="宋体" w:eastAsia="宋体" w:cs="宋体"/>
          <w:spacing w:val="-1"/>
          <w:sz w:val="24"/>
          <w:szCs w:val="24"/>
        </w:rPr>
        <w:t>、易爆场合的观察窗，应采用不</w:t>
      </w:r>
      <w:r>
        <w:rPr>
          <w:rFonts w:ascii="宋体" w:hAnsi="宋体" w:eastAsia="宋体" w:cs="宋体"/>
          <w:sz w:val="24"/>
          <w:szCs w:val="24"/>
        </w:rPr>
        <w:t xml:space="preserve"> </w:t>
      </w:r>
      <w:r>
        <w:rPr>
          <w:rFonts w:ascii="宋体" w:hAnsi="宋体" w:eastAsia="宋体" w:cs="宋体"/>
          <w:spacing w:val="-5"/>
          <w:sz w:val="24"/>
          <w:szCs w:val="24"/>
        </w:rPr>
        <w:t>易破碎爆裂的材料制作。</w:t>
      </w:r>
    </w:p>
    <w:p w14:paraId="3A3083AD">
      <w:pPr>
        <w:spacing w:before="158" w:line="308" w:lineRule="auto"/>
        <w:ind w:left="5" w:right="180" w:firstLine="2"/>
        <w:rPr>
          <w:rFonts w:ascii="宋体" w:hAnsi="宋体" w:eastAsia="宋体" w:cs="宋体"/>
          <w:sz w:val="24"/>
          <w:szCs w:val="24"/>
        </w:rPr>
      </w:pPr>
      <w:r>
        <w:rPr>
          <w:rFonts w:ascii="Times New Roman" w:hAnsi="Times New Roman" w:eastAsia="Times New Roman" w:cs="Times New Roman"/>
          <w:sz w:val="24"/>
          <w:szCs w:val="24"/>
        </w:rPr>
        <w:t xml:space="preserve">5.5.6    </w:t>
      </w:r>
      <w:r>
        <w:rPr>
          <w:rFonts w:ascii="宋体" w:hAnsi="宋体" w:eastAsia="宋体" w:cs="宋体"/>
          <w:sz w:val="24"/>
          <w:szCs w:val="24"/>
        </w:rPr>
        <w:t>在回、排风口上安有高效过滤器的洁净室及生物</w:t>
      </w:r>
      <w:r>
        <w:rPr>
          <w:rFonts w:ascii="宋体" w:hAnsi="宋体" w:eastAsia="宋体" w:cs="宋体"/>
          <w:spacing w:val="-1"/>
          <w:sz w:val="24"/>
          <w:szCs w:val="24"/>
        </w:rPr>
        <w:t>安全柜等装备，在安装前应用</w:t>
      </w:r>
      <w:r>
        <w:rPr>
          <w:rFonts w:ascii="宋体" w:hAnsi="宋体" w:eastAsia="宋体" w:cs="宋体"/>
          <w:sz w:val="24"/>
          <w:szCs w:val="24"/>
        </w:rPr>
        <w:t xml:space="preserve"> 现场检漏装置对高效过滤器扫描检漏，并应确认无漏后安装</w:t>
      </w:r>
      <w:r>
        <w:rPr>
          <w:rFonts w:ascii="宋体" w:hAnsi="宋体" w:eastAsia="宋体" w:cs="宋体"/>
          <w:spacing w:val="-1"/>
          <w:sz w:val="24"/>
          <w:szCs w:val="24"/>
        </w:rPr>
        <w:t>。回、排风口安装后，对</w:t>
      </w:r>
      <w:r>
        <w:rPr>
          <w:rFonts w:ascii="宋体" w:hAnsi="宋体" w:eastAsia="宋体" w:cs="宋体"/>
          <w:sz w:val="24"/>
          <w:szCs w:val="24"/>
        </w:rPr>
        <w:t xml:space="preserve"> 非零泄露边框密封结构，应再对其边框扫描检漏，并应确认</w:t>
      </w:r>
      <w:r>
        <w:rPr>
          <w:rFonts w:ascii="宋体" w:hAnsi="宋体" w:eastAsia="宋体" w:cs="宋体"/>
          <w:spacing w:val="-1"/>
          <w:sz w:val="24"/>
          <w:szCs w:val="24"/>
        </w:rPr>
        <w:t>无漏；当无法对边框扫描</w:t>
      </w:r>
      <w:r>
        <w:rPr>
          <w:rFonts w:ascii="宋体" w:hAnsi="宋体" w:eastAsia="宋体" w:cs="宋体"/>
          <w:sz w:val="24"/>
          <w:szCs w:val="24"/>
        </w:rPr>
        <w:t xml:space="preserve"> </w:t>
      </w:r>
      <w:r>
        <w:rPr>
          <w:rFonts w:ascii="宋体" w:hAnsi="宋体" w:eastAsia="宋体" w:cs="宋体"/>
          <w:spacing w:val="-3"/>
          <w:sz w:val="24"/>
          <w:szCs w:val="24"/>
        </w:rPr>
        <w:t>检漏时，必须进行生物学等专门评价。</w:t>
      </w:r>
    </w:p>
    <w:p w14:paraId="77A463EA">
      <w:pPr>
        <w:spacing w:before="156" w:line="299" w:lineRule="auto"/>
        <w:ind w:left="3" w:right="180" w:firstLine="4"/>
        <w:rPr>
          <w:rFonts w:ascii="宋体" w:hAnsi="宋体" w:eastAsia="宋体" w:cs="宋体"/>
          <w:sz w:val="24"/>
          <w:szCs w:val="24"/>
        </w:rPr>
      </w:pPr>
      <w:r>
        <w:rPr>
          <w:rFonts w:ascii="Times New Roman" w:hAnsi="Times New Roman" w:eastAsia="Times New Roman" w:cs="Times New Roman"/>
          <w:sz w:val="24"/>
          <w:szCs w:val="24"/>
        </w:rPr>
        <w:t xml:space="preserve">5.5.7    </w:t>
      </w:r>
      <w:r>
        <w:rPr>
          <w:rFonts w:ascii="宋体" w:hAnsi="宋体" w:eastAsia="宋体" w:cs="宋体"/>
          <w:sz w:val="24"/>
          <w:szCs w:val="24"/>
        </w:rPr>
        <w:t>当在回、排风口上安装动态气流密封排风装置时</w:t>
      </w:r>
      <w:r>
        <w:rPr>
          <w:rFonts w:ascii="宋体" w:hAnsi="宋体" w:eastAsia="宋体" w:cs="宋体"/>
          <w:spacing w:val="-1"/>
          <w:sz w:val="24"/>
          <w:szCs w:val="24"/>
        </w:rPr>
        <w:t>，应将正压接管与接嘴牢靠连</w:t>
      </w:r>
      <w:r>
        <w:rPr>
          <w:rFonts w:ascii="宋体" w:hAnsi="宋体" w:eastAsia="宋体" w:cs="宋体"/>
          <w:sz w:val="24"/>
          <w:szCs w:val="24"/>
        </w:rPr>
        <w:t xml:space="preserve"> 接，压差表应安装干排风装置近旁目测高度处。排风装置中的高</w:t>
      </w:r>
      <w:r>
        <w:rPr>
          <w:rFonts w:ascii="宋体" w:hAnsi="宋体" w:eastAsia="宋体" w:cs="宋体"/>
          <w:spacing w:val="-1"/>
          <w:sz w:val="24"/>
          <w:szCs w:val="24"/>
        </w:rPr>
        <w:t>效过滤器应在装置外</w:t>
      </w:r>
      <w:r>
        <w:rPr>
          <w:rFonts w:ascii="宋体" w:hAnsi="宋体" w:eastAsia="宋体" w:cs="宋体"/>
          <w:sz w:val="24"/>
          <w:szCs w:val="24"/>
        </w:rPr>
        <w:t xml:space="preserve"> </w:t>
      </w:r>
      <w:r>
        <w:rPr>
          <w:rFonts w:ascii="宋体" w:hAnsi="宋体" w:eastAsia="宋体" w:cs="宋体"/>
          <w:spacing w:val="-3"/>
          <w:sz w:val="24"/>
          <w:szCs w:val="24"/>
        </w:rPr>
        <w:t>进行扫描检漏，并应确认无漏后再安入装置。</w:t>
      </w:r>
    </w:p>
    <w:p w14:paraId="6E5E98A8">
      <w:pPr>
        <w:spacing w:before="154" w:line="279" w:lineRule="auto"/>
        <w:ind w:left="28" w:right="419" w:hanging="21"/>
        <w:rPr>
          <w:rFonts w:ascii="宋体" w:hAnsi="宋体" w:eastAsia="宋体" w:cs="宋体"/>
          <w:sz w:val="24"/>
          <w:szCs w:val="24"/>
        </w:rPr>
      </w:pPr>
      <w:r>
        <w:rPr>
          <w:rFonts w:ascii="Times New Roman" w:hAnsi="Times New Roman" w:eastAsia="Times New Roman" w:cs="Times New Roman"/>
          <w:sz w:val="24"/>
          <w:szCs w:val="24"/>
        </w:rPr>
        <w:t xml:space="preserve">5.5.8    </w:t>
      </w:r>
      <w:r>
        <w:rPr>
          <w:rFonts w:ascii="宋体" w:hAnsi="宋体" w:eastAsia="宋体" w:cs="宋体"/>
          <w:sz w:val="24"/>
          <w:szCs w:val="24"/>
        </w:rPr>
        <w:t>当回、排风口通过的空气含有高危险性生物气</w:t>
      </w:r>
      <w:r>
        <w:rPr>
          <w:rFonts w:ascii="宋体" w:hAnsi="宋体" w:eastAsia="宋体" w:cs="宋体"/>
          <w:spacing w:val="-1"/>
          <w:sz w:val="24"/>
          <w:szCs w:val="24"/>
        </w:rPr>
        <w:t>溶胶时，在改建洁净室拆装其</w:t>
      </w:r>
      <w:r>
        <w:rPr>
          <w:rFonts w:ascii="宋体" w:hAnsi="宋体" w:eastAsia="宋体" w:cs="宋体"/>
          <w:sz w:val="24"/>
          <w:szCs w:val="24"/>
        </w:rPr>
        <w:t xml:space="preserve"> </w:t>
      </w:r>
      <w:r>
        <w:rPr>
          <w:rFonts w:ascii="宋体" w:hAnsi="宋体" w:eastAsia="宋体" w:cs="宋体"/>
          <w:spacing w:val="-2"/>
          <w:sz w:val="24"/>
          <w:szCs w:val="24"/>
        </w:rPr>
        <w:t>回、排风过滤器前必须对风口进行消毒，工作人员人身应有</w:t>
      </w:r>
      <w:r>
        <w:rPr>
          <w:rFonts w:ascii="宋体" w:hAnsi="宋体" w:eastAsia="宋体" w:cs="宋体"/>
          <w:spacing w:val="-3"/>
          <w:sz w:val="24"/>
          <w:szCs w:val="24"/>
        </w:rPr>
        <w:t>防护措施。</w:t>
      </w:r>
    </w:p>
    <w:p w14:paraId="30496F1B">
      <w:pPr>
        <w:spacing w:before="155" w:line="279" w:lineRule="auto"/>
        <w:ind w:left="6" w:firstLine="1"/>
        <w:rPr>
          <w:rFonts w:ascii="宋体" w:hAnsi="宋体" w:eastAsia="宋体" w:cs="宋体"/>
          <w:sz w:val="24"/>
          <w:szCs w:val="24"/>
        </w:rPr>
      </w:pPr>
      <w:r>
        <w:rPr>
          <w:rFonts w:ascii="Times New Roman" w:hAnsi="Times New Roman" w:eastAsia="Times New Roman" w:cs="Times New Roman"/>
          <w:sz w:val="24"/>
          <w:szCs w:val="24"/>
        </w:rPr>
        <w:t xml:space="preserve">5.6.7    </w:t>
      </w:r>
      <w:r>
        <w:rPr>
          <w:rFonts w:ascii="宋体" w:hAnsi="宋体" w:eastAsia="宋体" w:cs="宋体"/>
          <w:sz w:val="24"/>
          <w:szCs w:val="24"/>
        </w:rPr>
        <w:t>用于以过滤生物气溶胶为主</w:t>
      </w:r>
      <w:r>
        <w:rPr>
          <w:rFonts w:ascii="宋体" w:hAnsi="宋体" w:eastAsia="宋体" w:cs="宋体"/>
          <w:spacing w:val="-1"/>
          <w:sz w:val="24"/>
          <w:szCs w:val="24"/>
        </w:rPr>
        <w:t>要目的、</w:t>
      </w: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级或</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 xml:space="preserve">5 </w:t>
      </w:r>
      <w:r>
        <w:rPr>
          <w:rFonts w:ascii="宋体" w:hAnsi="宋体" w:eastAsia="宋体" w:cs="宋体"/>
          <w:spacing w:val="-1"/>
          <w:sz w:val="24"/>
          <w:szCs w:val="24"/>
        </w:rPr>
        <w:t>级以上洁净室或者有专门要求的送</w:t>
      </w:r>
      <w:r>
        <w:rPr>
          <w:rFonts w:ascii="宋体" w:hAnsi="宋体" w:eastAsia="宋体" w:cs="宋体"/>
          <w:sz w:val="24"/>
          <w:szCs w:val="24"/>
        </w:rPr>
        <w:t xml:space="preserve"> </w:t>
      </w:r>
      <w:r>
        <w:rPr>
          <w:rFonts w:ascii="宋体" w:hAnsi="宋体" w:eastAsia="宋体" w:cs="宋体"/>
          <w:spacing w:val="-1"/>
          <w:sz w:val="24"/>
          <w:szCs w:val="24"/>
        </w:rPr>
        <w:t>风末端高效过滤器或其末端装置安装后，应逐台进行现场</w:t>
      </w:r>
      <w:r>
        <w:rPr>
          <w:rFonts w:ascii="宋体" w:hAnsi="宋体" w:eastAsia="宋体" w:cs="宋体"/>
          <w:spacing w:val="-2"/>
          <w:sz w:val="24"/>
          <w:szCs w:val="24"/>
        </w:rPr>
        <w:t>扫描检漏，并应合格。</w:t>
      </w:r>
    </w:p>
    <w:p w14:paraId="1353E4B9">
      <w:pPr>
        <w:spacing w:before="154" w:line="220"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6.3.7    </w:t>
      </w:r>
      <w:r>
        <w:rPr>
          <w:rFonts w:ascii="宋体" w:hAnsi="宋体" w:eastAsia="宋体" w:cs="宋体"/>
          <w:spacing w:val="-1"/>
          <w:sz w:val="24"/>
          <w:szCs w:val="24"/>
        </w:rPr>
        <w:t>医用气体管道安装后应加以色标。不同气体管道上的接口应专用，不得通</w:t>
      </w:r>
      <w:r>
        <w:rPr>
          <w:rFonts w:ascii="宋体" w:hAnsi="宋体" w:eastAsia="宋体" w:cs="宋体"/>
          <w:spacing w:val="-2"/>
          <w:sz w:val="24"/>
          <w:szCs w:val="24"/>
        </w:rPr>
        <w:t>用。</w:t>
      </w:r>
    </w:p>
    <w:p w14:paraId="0AD9E8B0">
      <w:pPr>
        <w:spacing w:before="155" w:line="309" w:lineRule="auto"/>
        <w:ind w:left="6" w:right="26"/>
        <w:rPr>
          <w:rFonts w:ascii="宋体" w:hAnsi="宋体" w:eastAsia="宋体" w:cs="宋体"/>
          <w:sz w:val="24"/>
          <w:szCs w:val="24"/>
        </w:rPr>
      </w:pPr>
      <w:r>
        <w:rPr>
          <w:rFonts w:ascii="Times New Roman" w:hAnsi="Times New Roman" w:eastAsia="Times New Roman" w:cs="Times New Roman"/>
          <w:sz w:val="24"/>
          <w:szCs w:val="24"/>
        </w:rPr>
        <w:t xml:space="preserve">6.4.1    </w:t>
      </w:r>
      <w:r>
        <w:rPr>
          <w:rFonts w:ascii="宋体" w:hAnsi="宋体" w:eastAsia="宋体" w:cs="宋体"/>
          <w:sz w:val="24"/>
          <w:szCs w:val="24"/>
        </w:rPr>
        <w:t>可燃气体和高纯气体等特殊气体阀门安装前应逐个</w:t>
      </w:r>
      <w:r>
        <w:rPr>
          <w:rFonts w:ascii="宋体" w:hAnsi="宋体" w:eastAsia="宋体" w:cs="宋体"/>
          <w:spacing w:val="-1"/>
          <w:sz w:val="24"/>
          <w:szCs w:val="24"/>
        </w:rPr>
        <w:t>进行强度和严密性试验。管</w:t>
      </w:r>
      <w:r>
        <w:rPr>
          <w:rFonts w:ascii="宋体" w:hAnsi="宋体" w:eastAsia="宋体" w:cs="宋体"/>
          <w:sz w:val="24"/>
          <w:szCs w:val="24"/>
        </w:rPr>
        <w:t xml:space="preserve">  路系统安装完毕后应对系统进行强度试验。强度试验应</w:t>
      </w:r>
      <w:r>
        <w:rPr>
          <w:rFonts w:ascii="宋体" w:hAnsi="宋体" w:eastAsia="宋体" w:cs="宋体"/>
          <w:spacing w:val="-1"/>
          <w:sz w:val="24"/>
          <w:szCs w:val="24"/>
        </w:rPr>
        <w:t>采用气压试验，并应采取严格</w:t>
      </w:r>
      <w:r>
        <w:rPr>
          <w:rFonts w:ascii="宋体" w:hAnsi="宋体" w:eastAsia="宋体" w:cs="宋体"/>
          <w:sz w:val="24"/>
          <w:szCs w:val="24"/>
        </w:rPr>
        <w:t xml:space="preserve">  </w:t>
      </w:r>
      <w:r>
        <w:rPr>
          <w:rFonts w:ascii="宋体" w:hAnsi="宋体" w:eastAsia="宋体" w:cs="宋体"/>
          <w:spacing w:val="-1"/>
          <w:sz w:val="24"/>
          <w:szCs w:val="24"/>
        </w:rPr>
        <w:t>的安全措施，不得采用水压试验。当管道的设计压力大于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0.6MPa</w:t>
      </w:r>
      <w:r>
        <w:rPr>
          <w:rFonts w:ascii="Times New Roman" w:hAnsi="Times New Roman" w:eastAsia="Times New Roman" w:cs="Times New Roman"/>
          <w:spacing w:val="20"/>
          <w:w w:val="101"/>
          <w:sz w:val="24"/>
          <w:szCs w:val="24"/>
        </w:rPr>
        <w:t xml:space="preserve"> </w:t>
      </w:r>
      <w:r>
        <w:rPr>
          <w:rFonts w:ascii="宋体" w:hAnsi="宋体" w:eastAsia="宋体" w:cs="宋体"/>
          <w:spacing w:val="-1"/>
          <w:sz w:val="24"/>
          <w:szCs w:val="24"/>
        </w:rPr>
        <w:t>时，应按设计文</w:t>
      </w:r>
      <w:r>
        <w:rPr>
          <w:rFonts w:ascii="宋体" w:hAnsi="宋体" w:eastAsia="宋体" w:cs="宋体"/>
          <w:spacing w:val="-2"/>
          <w:sz w:val="24"/>
          <w:szCs w:val="24"/>
        </w:rPr>
        <w:t>件规</w:t>
      </w:r>
      <w:r>
        <w:rPr>
          <w:rFonts w:ascii="宋体" w:hAnsi="宋体" w:eastAsia="宋体" w:cs="宋体"/>
          <w:sz w:val="24"/>
          <w:szCs w:val="24"/>
        </w:rPr>
        <w:t xml:space="preserve"> </w:t>
      </w:r>
      <w:r>
        <w:rPr>
          <w:rFonts w:ascii="宋体" w:hAnsi="宋体" w:eastAsia="宋体" w:cs="宋体"/>
          <w:spacing w:val="-6"/>
          <w:sz w:val="24"/>
          <w:szCs w:val="24"/>
        </w:rPr>
        <w:t>定进行气压试验。</w:t>
      </w:r>
    </w:p>
    <w:p w14:paraId="76CEAFCD">
      <w:pPr>
        <w:spacing w:before="153" w:line="279" w:lineRule="auto"/>
        <w:ind w:left="10" w:right="68" w:firstLine="13"/>
        <w:rPr>
          <w:rFonts w:ascii="宋体" w:hAnsi="宋体" w:eastAsia="宋体" w:cs="宋体"/>
          <w:sz w:val="24"/>
          <w:szCs w:val="24"/>
        </w:rPr>
      </w:pPr>
      <w:r>
        <w:rPr>
          <w:rFonts w:ascii="Times New Roman" w:hAnsi="Times New Roman" w:eastAsia="Times New Roman" w:cs="Times New Roman"/>
          <w:spacing w:val="-1"/>
          <w:sz w:val="24"/>
          <w:szCs w:val="24"/>
        </w:rPr>
        <w:t xml:space="preserve">11.4.3    </w:t>
      </w:r>
      <w:r>
        <w:rPr>
          <w:rFonts w:ascii="宋体" w:hAnsi="宋体" w:eastAsia="宋体" w:cs="宋体"/>
          <w:spacing w:val="-1"/>
          <w:sz w:val="24"/>
          <w:szCs w:val="24"/>
        </w:rPr>
        <w:t>生物安全柜安装就位之后，连接排风管道之前，应对高效过滤器边框及整个滤</w:t>
      </w:r>
      <w:r>
        <w:rPr>
          <w:rFonts w:ascii="宋体" w:hAnsi="宋体" w:eastAsia="宋体" w:cs="宋体"/>
          <w:spacing w:val="6"/>
          <w:sz w:val="24"/>
          <w:szCs w:val="24"/>
        </w:rPr>
        <w:t xml:space="preserve"> </w:t>
      </w:r>
      <w:r>
        <w:rPr>
          <w:rFonts w:ascii="宋体" w:hAnsi="宋体" w:eastAsia="宋体" w:cs="宋体"/>
          <w:spacing w:val="-2"/>
          <w:sz w:val="24"/>
          <w:szCs w:val="24"/>
        </w:rPr>
        <w:t>芯面扫描检漏。当为零泄露排风装置时，应对滤芯面检漏。</w:t>
      </w:r>
    </w:p>
    <w:p w14:paraId="5BD14E72">
      <w:pPr>
        <w:spacing w:before="202" w:line="327" w:lineRule="auto"/>
        <w:ind w:left="477" w:right="94" w:hanging="463"/>
        <w:outlineLvl w:val="1"/>
        <w:rPr>
          <w:rFonts w:ascii="宋体" w:hAnsi="宋体" w:eastAsia="宋体" w:cs="宋体"/>
          <w:sz w:val="27"/>
          <w:szCs w:val="27"/>
        </w:rPr>
      </w:pPr>
      <w:bookmarkStart w:id="26" w:name="bookmark75"/>
      <w:bookmarkEnd w:id="26"/>
      <w:r>
        <w:rPr>
          <w:rFonts w:ascii="Times New Roman" w:hAnsi="Times New Roman" w:eastAsia="Times New Roman" w:cs="Times New Roman"/>
          <w:b/>
          <w:bCs/>
          <w:spacing w:val="6"/>
          <w:sz w:val="27"/>
          <w:szCs w:val="27"/>
        </w:rPr>
        <w:t>11.</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50618-2011  </w:t>
      </w:r>
      <w:r>
        <w:rPr>
          <w:rFonts w:ascii="宋体" w:hAnsi="宋体" w:eastAsia="宋体" w:cs="宋体"/>
          <w:b/>
          <w:bCs/>
          <w:spacing w:val="6"/>
          <w:sz w:val="27"/>
          <w:szCs w:val="27"/>
        </w:rPr>
        <w:t>房屋建筑和市政基础设施工程检测技术管理规</w:t>
      </w:r>
      <w:r>
        <w:rPr>
          <w:rFonts w:ascii="宋体" w:hAnsi="宋体" w:eastAsia="宋体" w:cs="宋体"/>
          <w:b/>
          <w:bCs/>
          <w:spacing w:val="5"/>
          <w:sz w:val="27"/>
          <w:szCs w:val="27"/>
        </w:rPr>
        <w:t>范【强条</w:t>
      </w:r>
      <w:r>
        <w:rPr>
          <w:rFonts w:ascii="宋体" w:hAnsi="宋体" w:eastAsia="宋体" w:cs="宋体"/>
          <w:sz w:val="27"/>
          <w:szCs w:val="27"/>
        </w:rPr>
        <w:t xml:space="preserve"> </w:t>
      </w:r>
      <w:bookmarkStart w:id="27" w:name="bookmark75"/>
      <w:bookmarkEnd w:id="27"/>
      <w:r>
        <w:rPr>
          <w:rFonts w:ascii="宋体" w:hAnsi="宋体" w:eastAsia="宋体" w:cs="宋体"/>
          <w:b/>
          <w:bCs/>
          <w:spacing w:val="-7"/>
          <w:sz w:val="27"/>
          <w:szCs w:val="27"/>
        </w:rPr>
        <w:t>已废】</w:t>
      </w:r>
    </w:p>
    <w:p w14:paraId="50A6825F">
      <w:pPr>
        <w:spacing w:before="283" w:line="220" w:lineRule="auto"/>
        <w:ind w:left="32"/>
        <w:rPr>
          <w:rFonts w:ascii="宋体" w:hAnsi="宋体" w:eastAsia="宋体" w:cs="宋体"/>
          <w:sz w:val="24"/>
          <w:szCs w:val="24"/>
        </w:rPr>
      </w:pPr>
      <w:r>
        <w:rPr>
          <w:rFonts w:ascii="宋体" w:hAnsi="宋体" w:eastAsia="宋体" w:cs="宋体"/>
          <w:b/>
          <w:bCs/>
          <w:color w:val="C00000"/>
          <w:spacing w:val="-2"/>
          <w:sz w:val="24"/>
          <w:szCs w:val="24"/>
        </w:rPr>
        <w:t>以下条目已被</w:t>
      </w:r>
      <w:r>
        <w:rPr>
          <w:rFonts w:ascii="宋体" w:hAnsi="宋体" w:eastAsia="宋体" w:cs="宋体"/>
          <w:b/>
          <w:bCs/>
          <w:color w:val="0563C1"/>
          <w:spacing w:val="-2"/>
          <w:sz w:val="24"/>
          <w:szCs w:val="24"/>
          <w:u w:val="single" w:color="auto"/>
        </w:rPr>
        <w:t>《</w:t>
      </w:r>
      <w:r>
        <w:rPr>
          <w:rFonts w:ascii="Times New Roman" w:hAnsi="Times New Roman" w:eastAsia="Times New Roman" w:cs="Times New Roman"/>
          <w:b/>
          <w:bCs/>
          <w:color w:val="0563C1"/>
          <w:spacing w:val="-2"/>
          <w:sz w:val="24"/>
          <w:szCs w:val="24"/>
          <w:u w:val="single" w:color="auto"/>
        </w:rPr>
        <w:t xml:space="preserve">GB55032-2022 </w:t>
      </w:r>
      <w:r>
        <w:rPr>
          <w:rFonts w:ascii="宋体" w:hAnsi="宋体" w:eastAsia="宋体" w:cs="宋体"/>
          <w:b/>
          <w:bCs/>
          <w:color w:val="0563C1"/>
          <w:spacing w:val="-2"/>
          <w:sz w:val="24"/>
          <w:szCs w:val="24"/>
          <w:u w:val="single" w:color="auto"/>
        </w:rPr>
        <w:t>建筑与市政工程施工质量控制通用规范》</w:t>
      </w:r>
      <w:r>
        <w:rPr>
          <w:rFonts w:ascii="宋体" w:hAnsi="宋体" w:eastAsia="宋体" w:cs="宋体"/>
          <w:b/>
          <w:bCs/>
          <w:color w:val="C00000"/>
          <w:spacing w:val="-2"/>
          <w:sz w:val="24"/>
          <w:szCs w:val="24"/>
        </w:rPr>
        <w:t>替代</w:t>
      </w:r>
    </w:p>
    <w:p w14:paraId="4139F661">
      <w:pPr>
        <w:spacing w:before="155"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3.0.3    </w:t>
      </w:r>
      <w:r>
        <w:rPr>
          <w:rFonts w:ascii="宋体" w:hAnsi="宋体" w:eastAsia="宋体" w:cs="宋体"/>
          <w:strike/>
          <w:sz w:val="24"/>
          <w:szCs w:val="24"/>
        </w:rPr>
        <w:t>检测机构必须在技术能力和资质规</w:t>
      </w:r>
      <w:r>
        <w:rPr>
          <w:rFonts w:ascii="宋体" w:hAnsi="宋体" w:eastAsia="宋体" w:cs="宋体"/>
          <w:strike/>
          <w:spacing w:val="-1"/>
          <w:sz w:val="24"/>
          <w:szCs w:val="24"/>
        </w:rPr>
        <w:t>定范围内开展检测工作。</w:t>
      </w:r>
    </w:p>
    <w:p w14:paraId="5900360C">
      <w:pPr>
        <w:spacing w:before="155" w:line="218"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3.0.4    </w:t>
      </w:r>
      <w:r>
        <w:rPr>
          <w:rFonts w:ascii="宋体" w:hAnsi="宋体" w:eastAsia="宋体" w:cs="宋体"/>
          <w:strike/>
          <w:sz w:val="24"/>
          <w:szCs w:val="24"/>
        </w:rPr>
        <w:t>检测机构应对出具的检测报告</w:t>
      </w:r>
      <w:r>
        <w:rPr>
          <w:rFonts w:ascii="宋体" w:hAnsi="宋体" w:eastAsia="宋体" w:cs="宋体"/>
          <w:strike/>
          <w:spacing w:val="-1"/>
          <w:sz w:val="24"/>
          <w:szCs w:val="24"/>
        </w:rPr>
        <w:t>的真实性、准确性负责。</w:t>
      </w:r>
    </w:p>
    <w:p w14:paraId="345C3A1F">
      <w:pPr>
        <w:spacing w:line="218" w:lineRule="auto"/>
        <w:rPr>
          <w:rFonts w:ascii="宋体" w:hAnsi="宋体" w:eastAsia="宋体" w:cs="宋体"/>
          <w:sz w:val="24"/>
          <w:szCs w:val="24"/>
        </w:rPr>
        <w:sectPr>
          <w:footerReference r:id="rId25" w:type="default"/>
          <w:pgSz w:w="11907" w:h="16839"/>
          <w:pgMar w:top="400" w:right="1429" w:bottom="743" w:left="1421" w:header="0" w:footer="582" w:gutter="0"/>
          <w:cols w:space="720" w:num="1"/>
        </w:sectPr>
      </w:pPr>
    </w:p>
    <w:p w14:paraId="44934373">
      <w:pPr>
        <w:pStyle w:val="2"/>
        <w:spacing w:line="303" w:lineRule="auto"/>
      </w:pPr>
    </w:p>
    <w:p w14:paraId="0A935077">
      <w:pPr>
        <w:pStyle w:val="2"/>
        <w:spacing w:line="303" w:lineRule="auto"/>
      </w:pPr>
    </w:p>
    <w:p w14:paraId="57F121AD">
      <w:pPr>
        <w:pStyle w:val="2"/>
        <w:spacing w:line="304" w:lineRule="auto"/>
      </w:pPr>
    </w:p>
    <w:p w14:paraId="656D6CBE">
      <w:pPr>
        <w:spacing w:before="78" w:line="280" w:lineRule="auto"/>
        <w:ind w:left="3" w:right="60" w:firstLine="2"/>
        <w:rPr>
          <w:rFonts w:ascii="宋体" w:hAnsi="宋体" w:eastAsia="宋体" w:cs="宋体"/>
          <w:sz w:val="24"/>
          <w:szCs w:val="24"/>
        </w:rPr>
      </w:pPr>
      <w:r>
        <w:rPr>
          <w:rFonts w:ascii="Times New Roman" w:hAnsi="Times New Roman" w:eastAsia="Times New Roman" w:cs="Times New Roman"/>
          <w:strike/>
          <w:sz w:val="24"/>
          <w:szCs w:val="24"/>
        </w:rPr>
        <w:t xml:space="preserve">3.0.10    </w:t>
      </w:r>
      <w:r>
        <w:rPr>
          <w:rFonts w:ascii="宋体" w:hAnsi="宋体" w:eastAsia="宋体" w:cs="宋体"/>
          <w:strike/>
          <w:sz w:val="24"/>
          <w:szCs w:val="24"/>
        </w:rPr>
        <w:t>检测应按有关标准的规定留置已检试件。有关标准留</w:t>
      </w:r>
      <w:r>
        <w:rPr>
          <w:rFonts w:ascii="宋体" w:hAnsi="宋体" w:eastAsia="宋体" w:cs="宋体"/>
          <w:strike/>
          <w:spacing w:val="-1"/>
          <w:sz w:val="24"/>
          <w:szCs w:val="24"/>
        </w:rPr>
        <w:t>置时间无明确要求的，留</w:t>
      </w:r>
      <w:r>
        <w:rPr>
          <w:rFonts w:ascii="宋体" w:hAnsi="宋体" w:eastAsia="宋体" w:cs="宋体"/>
          <w:sz w:val="24"/>
          <w:szCs w:val="24"/>
        </w:rPr>
        <w:t xml:space="preserve"> </w:t>
      </w:r>
      <w:r>
        <w:rPr>
          <w:rFonts w:ascii="宋体" w:hAnsi="宋体" w:eastAsia="宋体" w:cs="宋体"/>
          <w:strike/>
          <w:spacing w:val="-2"/>
          <w:sz w:val="24"/>
          <w:szCs w:val="24"/>
        </w:rPr>
        <w:t>置时间不应小于</w:t>
      </w:r>
      <w:r>
        <w:rPr>
          <w:rFonts w:ascii="宋体" w:hAnsi="宋体" w:eastAsia="宋体" w:cs="宋体"/>
          <w:strike/>
          <w:spacing w:val="-47"/>
          <w:sz w:val="24"/>
          <w:szCs w:val="24"/>
        </w:rPr>
        <w:t xml:space="preserve"> </w:t>
      </w:r>
      <w:r>
        <w:rPr>
          <w:rFonts w:ascii="Times New Roman" w:hAnsi="Times New Roman" w:eastAsia="Times New Roman" w:cs="Times New Roman"/>
          <w:strike/>
          <w:spacing w:val="-2"/>
          <w:sz w:val="24"/>
          <w:szCs w:val="24"/>
        </w:rPr>
        <w:t>72h</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5CBC9B89">
      <w:pPr>
        <w:spacing w:before="150"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3.0.13    </w:t>
      </w:r>
      <w:r>
        <w:rPr>
          <w:rFonts w:ascii="宋体" w:hAnsi="宋体" w:eastAsia="宋体" w:cs="宋体"/>
          <w:strike/>
          <w:sz w:val="24"/>
          <w:szCs w:val="24"/>
        </w:rPr>
        <w:t>检测试件的提供方应对试件取样</w:t>
      </w:r>
      <w:r>
        <w:rPr>
          <w:rFonts w:ascii="宋体" w:hAnsi="宋体" w:eastAsia="宋体" w:cs="宋体"/>
          <w:strike/>
          <w:spacing w:val="-1"/>
          <w:sz w:val="24"/>
          <w:szCs w:val="24"/>
        </w:rPr>
        <w:t>的规范性、真实性负责。</w:t>
      </w:r>
    </w:p>
    <w:p w14:paraId="1F7E05E0">
      <w:pPr>
        <w:spacing w:before="155"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4.1.1    </w:t>
      </w:r>
      <w:r>
        <w:rPr>
          <w:rFonts w:ascii="宋体" w:hAnsi="宋体" w:eastAsia="宋体" w:cs="宋体"/>
          <w:strike/>
          <w:sz w:val="24"/>
          <w:szCs w:val="24"/>
        </w:rPr>
        <w:t>检测机构应配备能满足所开展检测项目要求的</w:t>
      </w:r>
      <w:r>
        <w:rPr>
          <w:rFonts w:ascii="宋体" w:hAnsi="宋体" w:eastAsia="宋体" w:cs="宋体"/>
          <w:strike/>
          <w:spacing w:val="-1"/>
          <w:sz w:val="24"/>
          <w:szCs w:val="24"/>
        </w:rPr>
        <w:t>检测人员。</w:t>
      </w:r>
    </w:p>
    <w:p w14:paraId="1431A0C4">
      <w:pPr>
        <w:spacing w:before="155"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4.2.1    </w:t>
      </w:r>
      <w:r>
        <w:rPr>
          <w:rFonts w:ascii="宋体" w:hAnsi="宋体" w:eastAsia="宋体" w:cs="宋体"/>
          <w:strike/>
          <w:sz w:val="24"/>
          <w:szCs w:val="24"/>
        </w:rPr>
        <w:t>检测机构应配备能满足所开展检测项目要求的</w:t>
      </w:r>
      <w:r>
        <w:rPr>
          <w:rFonts w:ascii="宋体" w:hAnsi="宋体" w:eastAsia="宋体" w:cs="宋体"/>
          <w:strike/>
          <w:spacing w:val="-1"/>
          <w:sz w:val="24"/>
          <w:szCs w:val="24"/>
        </w:rPr>
        <w:t>检测设备。</w:t>
      </w:r>
    </w:p>
    <w:p w14:paraId="65563110">
      <w:pPr>
        <w:spacing w:before="156" w:line="278" w:lineRule="auto"/>
        <w:ind w:left="11" w:right="60" w:hanging="11"/>
        <w:rPr>
          <w:rFonts w:ascii="宋体" w:hAnsi="宋体" w:eastAsia="宋体" w:cs="宋体"/>
          <w:sz w:val="24"/>
          <w:szCs w:val="24"/>
        </w:rPr>
      </w:pPr>
      <w:r>
        <w:rPr>
          <w:rFonts w:ascii="Times New Roman" w:hAnsi="Times New Roman" w:eastAsia="Times New Roman" w:cs="Times New Roman"/>
          <w:strike/>
          <w:sz w:val="24"/>
          <w:szCs w:val="24"/>
        </w:rPr>
        <w:t xml:space="preserve">4.4.10    </w:t>
      </w:r>
      <w:r>
        <w:rPr>
          <w:rFonts w:ascii="宋体" w:hAnsi="宋体" w:eastAsia="宋体" w:cs="宋体"/>
          <w:strike/>
          <w:sz w:val="24"/>
          <w:szCs w:val="24"/>
        </w:rPr>
        <w:t>检测机构严禁出具虚假检测报告。凡出现下列情况之</w:t>
      </w:r>
      <w:r>
        <w:rPr>
          <w:rFonts w:ascii="宋体" w:hAnsi="宋体" w:eastAsia="宋体" w:cs="宋体"/>
          <w:sz w:val="24"/>
          <w:szCs w:val="24"/>
        </w:rPr>
        <w:t>一</w:t>
      </w:r>
      <w:r>
        <w:rPr>
          <w:rFonts w:ascii="宋体" w:hAnsi="宋体" w:eastAsia="宋体" w:cs="宋体"/>
          <w:strike/>
          <w:sz w:val="24"/>
          <w:szCs w:val="24"/>
        </w:rPr>
        <w:t>的应判定为</w:t>
      </w:r>
      <w:r>
        <w:rPr>
          <w:rFonts w:ascii="宋体" w:hAnsi="宋体" w:eastAsia="宋体" w:cs="宋体"/>
          <w:strike/>
          <w:spacing w:val="-1"/>
          <w:sz w:val="24"/>
          <w:szCs w:val="24"/>
        </w:rPr>
        <w:t>虚假检测报</w:t>
      </w:r>
      <w:r>
        <w:rPr>
          <w:rFonts w:ascii="宋体" w:hAnsi="宋体" w:eastAsia="宋体" w:cs="宋体"/>
          <w:sz w:val="24"/>
          <w:szCs w:val="24"/>
        </w:rPr>
        <w:t xml:space="preserve"> </w:t>
      </w:r>
      <w:r>
        <w:rPr>
          <w:rFonts w:ascii="宋体" w:hAnsi="宋体" w:eastAsia="宋体" w:cs="宋体"/>
          <w:strike/>
          <w:spacing w:val="-4"/>
          <w:sz w:val="24"/>
          <w:szCs w:val="24"/>
        </w:rPr>
        <w:t>告：</w:t>
      </w:r>
    </w:p>
    <w:p w14:paraId="784ADC89">
      <w:pPr>
        <w:spacing w:before="157" w:line="218" w:lineRule="auto"/>
        <w:ind w:left="50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不按规定的检测程序及方法进行检测出具的检测报</w:t>
      </w:r>
      <w:r>
        <w:rPr>
          <w:rFonts w:ascii="宋体" w:hAnsi="宋体" w:eastAsia="宋体" w:cs="宋体"/>
          <w:strike/>
          <w:spacing w:val="-2"/>
          <w:sz w:val="24"/>
          <w:szCs w:val="24"/>
        </w:rPr>
        <w:t>告；</w:t>
      </w:r>
    </w:p>
    <w:p w14:paraId="59265F22">
      <w:pPr>
        <w:spacing w:before="156" w:line="218" w:lineRule="auto"/>
        <w:ind w:left="48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检测报告中数据、结论等实质性内容被更改</w:t>
      </w:r>
      <w:r>
        <w:rPr>
          <w:rFonts w:ascii="宋体" w:hAnsi="宋体" w:eastAsia="宋体" w:cs="宋体"/>
          <w:strike/>
          <w:spacing w:val="-1"/>
          <w:sz w:val="24"/>
          <w:szCs w:val="24"/>
        </w:rPr>
        <w:t>的检测报告；</w:t>
      </w:r>
    </w:p>
    <w:p w14:paraId="385FAE81">
      <w:pPr>
        <w:spacing w:before="157" w:line="218"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未经检测就出具的检测报告；</w:t>
      </w:r>
    </w:p>
    <w:p w14:paraId="43E9464F">
      <w:pPr>
        <w:spacing w:before="157" w:line="218" w:lineRule="auto"/>
        <w:ind w:left="480"/>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超出技术能力和资质规定范围出具的</w:t>
      </w:r>
      <w:r>
        <w:rPr>
          <w:rFonts w:ascii="宋体" w:hAnsi="宋体" w:eastAsia="宋体" w:cs="宋体"/>
          <w:strike/>
          <w:spacing w:val="-1"/>
          <w:sz w:val="24"/>
          <w:szCs w:val="24"/>
        </w:rPr>
        <w:t>检测报告。</w:t>
      </w:r>
    </w:p>
    <w:p w14:paraId="5B13EEE3">
      <w:pPr>
        <w:spacing w:before="156" w:line="359" w:lineRule="auto"/>
        <w:ind w:left="7" w:right="900"/>
        <w:rPr>
          <w:rFonts w:ascii="宋体" w:hAnsi="宋体" w:eastAsia="宋体" w:cs="宋体"/>
          <w:sz w:val="24"/>
          <w:szCs w:val="24"/>
        </w:rPr>
      </w:pPr>
      <w:r>
        <w:rPr>
          <w:rFonts w:ascii="Times New Roman" w:hAnsi="Times New Roman" w:eastAsia="Times New Roman" w:cs="Times New Roman"/>
          <w:strike/>
          <w:sz w:val="24"/>
          <w:szCs w:val="24"/>
        </w:rPr>
        <w:t xml:space="preserve">5.4.1    </w:t>
      </w:r>
      <w:r>
        <w:rPr>
          <w:rFonts w:ascii="宋体" w:hAnsi="宋体" w:eastAsia="宋体" w:cs="宋体"/>
          <w:strike/>
          <w:sz w:val="24"/>
          <w:szCs w:val="24"/>
        </w:rPr>
        <w:t>检测应严格按照经确认的检测方法标准和</w:t>
      </w:r>
      <w:r>
        <w:rPr>
          <w:rFonts w:ascii="宋体" w:hAnsi="宋体" w:eastAsia="宋体" w:cs="宋体"/>
          <w:strike/>
          <w:spacing w:val="-1"/>
          <w:sz w:val="24"/>
          <w:szCs w:val="24"/>
        </w:rPr>
        <w:t>现场工程实体检测方案进行。</w:t>
      </w:r>
      <w:r>
        <w:rPr>
          <w:rFonts w:ascii="宋体" w:hAnsi="宋体" w:eastAsia="宋体" w:cs="宋体"/>
          <w:sz w:val="24"/>
          <w:szCs w:val="24"/>
        </w:rPr>
        <w:t xml:space="preserve"> </w:t>
      </w:r>
      <w:r>
        <w:rPr>
          <w:rFonts w:ascii="宋体" w:hAnsi="宋体" w:eastAsia="宋体" w:cs="宋体"/>
          <w:spacing w:val="-1"/>
          <w:sz w:val="24"/>
          <w:szCs w:val="24"/>
        </w:rPr>
        <w:t>最近条文：</w:t>
      </w:r>
      <w:r>
        <w:rPr>
          <w:rFonts w:ascii="宋体" w:hAnsi="宋体" w:eastAsia="宋体" w:cs="宋体"/>
          <w:color w:val="0563C1"/>
          <w:spacing w:val="-1"/>
          <w:sz w:val="24"/>
          <w:szCs w:val="24"/>
          <w:u w:val="single" w:color="auto"/>
        </w:rPr>
        <w:t>检验检测机构监督管理办法丨市场监督管理总局令 第</w:t>
      </w:r>
      <w:r>
        <w:rPr>
          <w:rFonts w:ascii="宋体" w:hAnsi="宋体" w:eastAsia="宋体" w:cs="宋体"/>
          <w:color w:val="0563C1"/>
          <w:spacing w:val="-42"/>
          <w:sz w:val="24"/>
          <w:szCs w:val="24"/>
          <w:u w:val="single" w:color="auto"/>
        </w:rPr>
        <w:t xml:space="preserve"> </w:t>
      </w:r>
      <w:r>
        <w:rPr>
          <w:rFonts w:ascii="Times New Roman" w:hAnsi="Times New Roman" w:eastAsia="Times New Roman" w:cs="Times New Roman"/>
          <w:color w:val="0563C1"/>
          <w:spacing w:val="-1"/>
          <w:sz w:val="24"/>
          <w:szCs w:val="24"/>
          <w:u w:val="single" w:color="auto"/>
        </w:rPr>
        <w:t>39</w:t>
      </w:r>
      <w:r>
        <w:rPr>
          <w:rFonts w:ascii="Times New Roman" w:hAnsi="Times New Roman" w:eastAsia="Times New Roman" w:cs="Times New Roman"/>
          <w:color w:val="0563C1"/>
          <w:spacing w:val="15"/>
          <w:w w:val="101"/>
          <w:sz w:val="24"/>
          <w:szCs w:val="24"/>
          <w:u w:val="single" w:color="auto"/>
        </w:rPr>
        <w:t xml:space="preserve"> </w:t>
      </w:r>
      <w:r>
        <w:rPr>
          <w:rFonts w:ascii="宋体" w:hAnsi="宋体" w:eastAsia="宋体" w:cs="宋体"/>
          <w:color w:val="0563C1"/>
          <w:spacing w:val="-1"/>
          <w:sz w:val="24"/>
          <w:szCs w:val="24"/>
          <w:u w:val="single" w:color="auto"/>
        </w:rPr>
        <w:t>号</w:t>
      </w:r>
    </w:p>
    <w:p w14:paraId="594F4AFE">
      <w:pPr>
        <w:spacing w:before="149" w:line="226" w:lineRule="auto"/>
        <w:ind w:left="14"/>
        <w:outlineLvl w:val="1"/>
        <w:rPr>
          <w:rFonts w:ascii="宋体" w:hAnsi="宋体" w:eastAsia="宋体" w:cs="宋体"/>
          <w:sz w:val="27"/>
          <w:szCs w:val="27"/>
        </w:rPr>
      </w:pPr>
      <w:bookmarkStart w:id="28" w:name="bookmark76"/>
      <w:bookmarkEnd w:id="28"/>
      <w:r>
        <w:rPr>
          <w:rFonts w:ascii="Times New Roman" w:hAnsi="Times New Roman" w:eastAsia="Times New Roman" w:cs="Times New Roman"/>
          <w:b/>
          <w:bCs/>
          <w:spacing w:val="6"/>
          <w:sz w:val="27"/>
          <w:szCs w:val="27"/>
        </w:rPr>
        <w:t>12.</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50628-2010  </w:t>
      </w:r>
      <w:r>
        <w:rPr>
          <w:rFonts w:ascii="宋体" w:hAnsi="宋体" w:eastAsia="宋体" w:cs="宋体"/>
          <w:b/>
          <w:bCs/>
          <w:spacing w:val="6"/>
          <w:sz w:val="27"/>
          <w:szCs w:val="27"/>
        </w:rPr>
        <w:t>钢管混凝土工程施工质量验收规范【强条已废】</w:t>
      </w:r>
    </w:p>
    <w:p w14:paraId="0388E0E8">
      <w:pPr>
        <w:spacing w:before="286" w:line="220" w:lineRule="auto"/>
        <w:ind w:left="32"/>
        <w:rPr>
          <w:rFonts w:ascii="宋体" w:hAnsi="宋体" w:eastAsia="宋体" w:cs="宋体"/>
          <w:sz w:val="24"/>
          <w:szCs w:val="24"/>
        </w:rPr>
      </w:pPr>
      <w:r>
        <w:rPr>
          <w:rFonts w:ascii="宋体" w:hAnsi="宋体" w:eastAsia="宋体" w:cs="宋体"/>
          <w:b/>
          <w:bCs/>
          <w:color w:val="C0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GB55004-2021 </w:t>
      </w:r>
      <w:r>
        <w:rPr>
          <w:rFonts w:ascii="宋体" w:hAnsi="宋体" w:eastAsia="宋体" w:cs="宋体"/>
          <w:b/>
          <w:bCs/>
          <w:color w:val="0563C1"/>
          <w:spacing w:val="-2"/>
          <w:sz w:val="24"/>
          <w:szCs w:val="24"/>
          <w:u w:val="single" w:color="auto"/>
        </w:rPr>
        <w:t>组合结构通用规范</w:t>
      </w:r>
      <w:r>
        <w:rPr>
          <w:rFonts w:ascii="宋体" w:hAnsi="宋体" w:eastAsia="宋体" w:cs="宋体"/>
          <w:b/>
          <w:bCs/>
          <w:color w:val="C00000"/>
          <w:spacing w:val="-2"/>
          <w:sz w:val="24"/>
          <w:szCs w:val="24"/>
        </w:rPr>
        <w:t>》替代</w:t>
      </w:r>
    </w:p>
    <w:p w14:paraId="593FD6DD">
      <w:pPr>
        <w:spacing w:before="153" w:line="280" w:lineRule="auto"/>
        <w:ind w:left="5" w:right="180"/>
        <w:rPr>
          <w:rFonts w:ascii="宋体" w:hAnsi="宋体" w:eastAsia="宋体" w:cs="宋体"/>
          <w:sz w:val="24"/>
          <w:szCs w:val="24"/>
        </w:rPr>
      </w:pPr>
      <w:r>
        <w:rPr>
          <w:rFonts w:ascii="Times New Roman" w:hAnsi="Times New Roman" w:eastAsia="Times New Roman" w:cs="Times New Roman"/>
          <w:strike/>
          <w:sz w:val="24"/>
          <w:szCs w:val="24"/>
        </w:rPr>
        <w:t xml:space="preserve">3.0.4    </w:t>
      </w:r>
      <w:r>
        <w:rPr>
          <w:rFonts w:ascii="宋体" w:hAnsi="宋体" w:eastAsia="宋体" w:cs="宋体"/>
          <w:strike/>
          <w:sz w:val="24"/>
          <w:szCs w:val="24"/>
        </w:rPr>
        <w:t>钢管、钢板、钢筋、连接材料、焊接材料及钢管混凝</w:t>
      </w:r>
      <w:r>
        <w:rPr>
          <w:rFonts w:ascii="宋体" w:hAnsi="宋体" w:eastAsia="宋体" w:cs="宋体"/>
          <w:strike/>
          <w:spacing w:val="-1"/>
          <w:sz w:val="24"/>
          <w:szCs w:val="24"/>
        </w:rPr>
        <w:t>土的材料应符合设计要求</w:t>
      </w:r>
      <w:r>
        <w:rPr>
          <w:rFonts w:ascii="宋体" w:hAnsi="宋体" w:eastAsia="宋体" w:cs="宋体"/>
          <w:sz w:val="24"/>
          <w:szCs w:val="24"/>
        </w:rPr>
        <w:t xml:space="preserve"> </w:t>
      </w:r>
      <w:r>
        <w:rPr>
          <w:rFonts w:ascii="宋体" w:hAnsi="宋体" w:eastAsia="宋体" w:cs="宋体"/>
          <w:strike/>
          <w:spacing w:val="-1"/>
          <w:sz w:val="24"/>
          <w:szCs w:val="24"/>
        </w:rPr>
        <w:t>和国家现行有关标准的规定。</w:t>
      </w:r>
    </w:p>
    <w:p w14:paraId="327BABC0">
      <w:pPr>
        <w:spacing w:before="153" w:line="279" w:lineRule="auto"/>
        <w:ind w:left="5" w:right="180"/>
        <w:rPr>
          <w:rFonts w:ascii="宋体" w:hAnsi="宋体" w:eastAsia="宋体" w:cs="宋体"/>
          <w:sz w:val="24"/>
          <w:szCs w:val="24"/>
        </w:rPr>
      </w:pPr>
      <w:r>
        <w:rPr>
          <w:rFonts w:ascii="Times New Roman" w:hAnsi="Times New Roman" w:eastAsia="Times New Roman" w:cs="Times New Roman"/>
          <w:strike/>
          <w:sz w:val="24"/>
          <w:szCs w:val="24"/>
        </w:rPr>
        <w:t xml:space="preserve">3.0.6    </w:t>
      </w:r>
      <w:r>
        <w:rPr>
          <w:rFonts w:ascii="宋体" w:hAnsi="宋体" w:eastAsia="宋体" w:cs="宋体"/>
          <w:strike/>
          <w:sz w:val="24"/>
          <w:szCs w:val="24"/>
        </w:rPr>
        <w:t>焊工必须经考试合格并取得合格证书，持证焊工必须</w:t>
      </w:r>
      <w:r>
        <w:rPr>
          <w:rFonts w:ascii="宋体" w:hAnsi="宋体" w:eastAsia="宋体" w:cs="宋体"/>
          <w:strike/>
          <w:spacing w:val="-1"/>
          <w:sz w:val="24"/>
          <w:szCs w:val="24"/>
        </w:rPr>
        <w:t>在其考试合格项目及合格</w:t>
      </w:r>
      <w:r>
        <w:rPr>
          <w:rFonts w:ascii="宋体" w:hAnsi="宋体" w:eastAsia="宋体" w:cs="宋体"/>
          <w:sz w:val="24"/>
          <w:szCs w:val="24"/>
        </w:rPr>
        <w:t xml:space="preserve"> </w:t>
      </w:r>
      <w:r>
        <w:rPr>
          <w:rFonts w:ascii="宋体" w:hAnsi="宋体" w:eastAsia="宋体" w:cs="宋体"/>
          <w:strike/>
          <w:spacing w:val="-1"/>
          <w:sz w:val="24"/>
          <w:szCs w:val="24"/>
        </w:rPr>
        <w:t>证规定的范围内施焊。</w:t>
      </w:r>
    </w:p>
    <w:p w14:paraId="36EFF716">
      <w:pPr>
        <w:spacing w:before="153" w:line="315" w:lineRule="auto"/>
        <w:ind w:left="5" w:right="67"/>
        <w:rPr>
          <w:rFonts w:ascii="宋体" w:hAnsi="宋体" w:eastAsia="宋体" w:cs="宋体"/>
          <w:sz w:val="24"/>
          <w:szCs w:val="24"/>
        </w:rPr>
      </w:pPr>
      <w:r>
        <w:rPr>
          <w:rFonts w:ascii="Times New Roman" w:hAnsi="Times New Roman" w:eastAsia="Times New Roman" w:cs="Times New Roman"/>
          <w:strike/>
          <w:sz w:val="24"/>
          <w:szCs w:val="24"/>
        </w:rPr>
        <w:t xml:space="preserve">3.0.7    </w:t>
      </w:r>
      <w:r>
        <w:rPr>
          <w:rFonts w:ascii="宋体" w:hAnsi="宋体" w:eastAsia="宋体" w:cs="宋体"/>
          <w:strike/>
          <w:sz w:val="24"/>
          <w:szCs w:val="24"/>
        </w:rPr>
        <w:t>设计要求全焊透的</w:t>
      </w:r>
      <w:r>
        <w:rPr>
          <w:rFonts w:ascii="宋体" w:hAnsi="宋体" w:eastAsia="宋体" w:cs="宋体"/>
          <w:sz w:val="24"/>
          <w:szCs w:val="24"/>
        </w:rPr>
        <w:t>一</w:t>
      </w:r>
      <w:r>
        <w:rPr>
          <w:rFonts w:ascii="宋体" w:hAnsi="宋体" w:eastAsia="宋体" w:cs="宋体"/>
          <w:strike/>
          <w:sz w:val="24"/>
          <w:szCs w:val="24"/>
        </w:rPr>
        <w:t>、二级</w:t>
      </w:r>
      <w:r>
        <w:rPr>
          <w:rFonts w:ascii="宋体" w:hAnsi="宋体" w:eastAsia="宋体" w:cs="宋体"/>
          <w:strike/>
          <w:spacing w:val="-1"/>
          <w:sz w:val="24"/>
          <w:szCs w:val="24"/>
        </w:rPr>
        <w:t>焊缝应采用超声波探伤进行焊缝内部缺陷检验，超</w:t>
      </w:r>
      <w:r>
        <w:rPr>
          <w:rFonts w:ascii="宋体" w:hAnsi="宋体" w:eastAsia="宋体" w:cs="宋体"/>
          <w:sz w:val="24"/>
          <w:szCs w:val="24"/>
        </w:rPr>
        <w:t xml:space="preserve">  </w:t>
      </w:r>
      <w:r>
        <w:rPr>
          <w:rFonts w:ascii="宋体" w:hAnsi="宋体" w:eastAsia="宋体" w:cs="宋体"/>
          <w:strike/>
          <w:sz w:val="24"/>
          <w:szCs w:val="24"/>
        </w:rPr>
        <w:t>声波探伤不能对缺陷作出判断时，应采用射线探伤检验。其</w:t>
      </w:r>
      <w:r>
        <w:rPr>
          <w:rFonts w:ascii="宋体" w:hAnsi="宋体" w:eastAsia="宋体" w:cs="宋体"/>
          <w:strike/>
          <w:spacing w:val="-1"/>
          <w:sz w:val="24"/>
          <w:szCs w:val="24"/>
        </w:rPr>
        <w:t>内部缺陷分级及探伤应符</w:t>
      </w:r>
      <w:r>
        <w:rPr>
          <w:rFonts w:ascii="宋体" w:hAnsi="宋体" w:eastAsia="宋体" w:cs="宋体"/>
          <w:sz w:val="24"/>
          <w:szCs w:val="24"/>
        </w:rPr>
        <w:t xml:space="preserve">  </w:t>
      </w:r>
      <w:r>
        <w:rPr>
          <w:rFonts w:ascii="宋体" w:hAnsi="宋体" w:eastAsia="宋体" w:cs="宋体"/>
          <w:strike/>
          <w:spacing w:val="-1"/>
          <w:sz w:val="24"/>
          <w:szCs w:val="24"/>
        </w:rPr>
        <w:t>合现行国家标准《钢焊缝手工超声波探伤方法和探伤结</w:t>
      </w:r>
      <w:r>
        <w:rPr>
          <w:rFonts w:ascii="宋体" w:hAnsi="宋体" w:eastAsia="宋体" w:cs="宋体"/>
          <w:strike/>
          <w:spacing w:val="-2"/>
          <w:sz w:val="24"/>
          <w:szCs w:val="24"/>
        </w:rPr>
        <w:t>果分级》</w:t>
      </w:r>
      <w:r>
        <w:rPr>
          <w:rFonts w:ascii="Times New Roman" w:hAnsi="Times New Roman" w:eastAsia="Times New Roman" w:cs="Times New Roman"/>
          <w:strike/>
          <w:spacing w:val="-2"/>
          <w:sz w:val="24"/>
          <w:szCs w:val="24"/>
        </w:rPr>
        <w:t>GB11345</w:t>
      </w:r>
      <w:r>
        <w:rPr>
          <w:rFonts w:ascii="Times New Roman" w:hAnsi="Times New Roman" w:eastAsia="Times New Roman" w:cs="Times New Roman"/>
          <w:strike/>
          <w:spacing w:val="-34"/>
          <w:sz w:val="24"/>
          <w:szCs w:val="24"/>
        </w:rPr>
        <w:t xml:space="preserve"> </w:t>
      </w:r>
      <w:r>
        <w:rPr>
          <w:rFonts w:ascii="宋体" w:hAnsi="宋体" w:eastAsia="宋体" w:cs="宋体"/>
          <w:strike/>
          <w:spacing w:val="-2"/>
          <w:sz w:val="24"/>
          <w:szCs w:val="24"/>
        </w:rPr>
        <w:t>、《金属熔</w:t>
      </w:r>
      <w:r>
        <w:rPr>
          <w:rFonts w:ascii="宋体" w:hAnsi="宋体" w:eastAsia="宋体" w:cs="宋体"/>
          <w:sz w:val="24"/>
          <w:szCs w:val="24"/>
        </w:rPr>
        <w:t xml:space="preserve">  </w:t>
      </w:r>
      <w:r>
        <w:rPr>
          <w:rFonts w:ascii="宋体" w:hAnsi="宋体" w:eastAsia="宋体" w:cs="宋体"/>
          <w:strike/>
          <w:spacing w:val="-1"/>
          <w:sz w:val="24"/>
          <w:szCs w:val="24"/>
        </w:rPr>
        <w:t>化焊焊接接头射线照相》</w:t>
      </w:r>
      <w:r>
        <w:rPr>
          <w:rFonts w:ascii="Times New Roman" w:hAnsi="Times New Roman" w:eastAsia="Times New Roman" w:cs="Times New Roman"/>
          <w:strike/>
          <w:spacing w:val="-1"/>
          <w:sz w:val="24"/>
          <w:szCs w:val="24"/>
        </w:rPr>
        <w:t>GB/T3323</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的有关规定。</w:t>
      </w:r>
      <w:r>
        <w:rPr>
          <w:rFonts w:ascii="宋体" w:hAnsi="宋体" w:eastAsia="宋体" w:cs="宋体"/>
          <w:spacing w:val="-1"/>
          <w:sz w:val="24"/>
          <w:szCs w:val="24"/>
        </w:rPr>
        <w:t>一</w:t>
      </w:r>
      <w:r>
        <w:rPr>
          <w:rFonts w:ascii="宋体" w:hAnsi="宋体" w:eastAsia="宋体" w:cs="宋体"/>
          <w:strike/>
          <w:spacing w:val="-1"/>
          <w:sz w:val="24"/>
          <w:szCs w:val="24"/>
        </w:rPr>
        <w:t>、二</w:t>
      </w:r>
      <w:r>
        <w:rPr>
          <w:rFonts w:ascii="宋体" w:hAnsi="宋体" w:eastAsia="宋体" w:cs="宋体"/>
          <w:strike/>
          <w:spacing w:val="-2"/>
          <w:sz w:val="24"/>
          <w:szCs w:val="24"/>
        </w:rPr>
        <w:t>级焊缝的质量等级及缺陷分级</w:t>
      </w:r>
      <w:r>
        <w:rPr>
          <w:rFonts w:ascii="宋体" w:hAnsi="宋体" w:eastAsia="宋体" w:cs="宋体"/>
          <w:sz w:val="24"/>
          <w:szCs w:val="24"/>
        </w:rPr>
        <w:t xml:space="preserve"> </w:t>
      </w:r>
      <w:r>
        <w:rPr>
          <w:rFonts w:ascii="宋体" w:hAnsi="宋体" w:eastAsia="宋体" w:cs="宋体"/>
          <w:strike/>
          <w:spacing w:val="-4"/>
          <w:sz w:val="24"/>
          <w:szCs w:val="24"/>
        </w:rPr>
        <w:t>应符合表</w:t>
      </w:r>
      <w:r>
        <w:rPr>
          <w:rFonts w:ascii="宋体" w:hAnsi="宋体" w:eastAsia="宋体" w:cs="宋体"/>
          <w:strike/>
          <w:spacing w:val="-41"/>
          <w:sz w:val="24"/>
          <w:szCs w:val="24"/>
        </w:rPr>
        <w:t xml:space="preserve"> </w:t>
      </w:r>
      <w:r>
        <w:rPr>
          <w:rFonts w:ascii="Times New Roman" w:hAnsi="Times New Roman" w:eastAsia="Times New Roman" w:cs="Times New Roman"/>
          <w:strike/>
          <w:spacing w:val="-4"/>
          <w:sz w:val="24"/>
          <w:szCs w:val="24"/>
        </w:rPr>
        <w:t>3.0.7</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4"/>
          <w:sz w:val="24"/>
          <w:szCs w:val="24"/>
        </w:rPr>
        <w:t>的规定。</w:t>
      </w:r>
    </w:p>
    <w:p w14:paraId="0D9C2856">
      <w:pPr>
        <w:spacing w:before="179" w:line="220" w:lineRule="auto"/>
        <w:ind w:left="2517"/>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44"/>
          <w:sz w:val="21"/>
          <w:szCs w:val="21"/>
        </w:rPr>
        <w:t xml:space="preserve"> </w:t>
      </w:r>
      <w:r>
        <w:rPr>
          <w:rFonts w:ascii="Times New Roman" w:hAnsi="Times New Roman" w:eastAsia="Times New Roman" w:cs="Times New Roman"/>
          <w:strike/>
          <w:spacing w:val="-1"/>
          <w:sz w:val="21"/>
          <w:szCs w:val="21"/>
        </w:rPr>
        <w:t xml:space="preserve">3.0.7    </w:t>
      </w:r>
      <w:r>
        <w:rPr>
          <w:rFonts w:ascii="宋体" w:hAnsi="宋体" w:eastAsia="宋体" w:cs="宋体"/>
          <w:spacing w:val="-1"/>
          <w:sz w:val="21"/>
          <w:szCs w:val="21"/>
        </w:rPr>
        <w:t>一</w:t>
      </w:r>
      <w:r>
        <w:rPr>
          <w:rFonts w:ascii="宋体" w:hAnsi="宋体" w:eastAsia="宋体" w:cs="宋体"/>
          <w:strike/>
          <w:spacing w:val="-1"/>
          <w:sz w:val="21"/>
          <w:szCs w:val="21"/>
        </w:rPr>
        <w:t>、二级焊缝质量等级及</w:t>
      </w:r>
      <w:r>
        <w:rPr>
          <w:rFonts w:ascii="宋体" w:hAnsi="宋体" w:eastAsia="宋体" w:cs="宋体"/>
          <w:strike/>
          <w:spacing w:val="-2"/>
          <w:sz w:val="21"/>
          <w:szCs w:val="21"/>
        </w:rPr>
        <w:t>缺陷分级</w:t>
      </w:r>
    </w:p>
    <w:p w14:paraId="63BC2263">
      <w:pPr>
        <w:spacing w:line="19"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2129"/>
        <w:gridCol w:w="2130"/>
        <w:gridCol w:w="2134"/>
      </w:tblGrid>
      <w:tr w14:paraId="384E9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262" w:type="dxa"/>
            <w:gridSpan w:val="2"/>
            <w:vAlign w:val="top"/>
          </w:tcPr>
          <w:p w14:paraId="49DA6043">
            <w:pPr>
              <w:pStyle w:val="6"/>
              <w:spacing w:before="113" w:line="216" w:lineRule="auto"/>
              <w:ind w:left="1508"/>
            </w:pPr>
            <w:r>
              <w:rPr>
                <w:strike/>
                <w:spacing w:val="-2"/>
              </w:rPr>
              <w:t>焊缝质量等级</w:t>
            </w:r>
          </w:p>
        </w:tc>
        <w:tc>
          <w:tcPr>
            <w:tcW w:w="2130" w:type="dxa"/>
            <w:vAlign w:val="top"/>
          </w:tcPr>
          <w:p w14:paraId="3D1CE28C">
            <w:pPr>
              <w:pStyle w:val="6"/>
              <w:spacing w:before="113" w:line="216" w:lineRule="auto"/>
              <w:ind w:left="864"/>
            </w:pPr>
            <w:r>
              <w:rPr>
                <w:spacing w:val="-6"/>
              </w:rPr>
              <w:t>一</w:t>
            </w:r>
            <w:r>
              <w:rPr>
                <w:strike/>
                <w:spacing w:val="-6"/>
              </w:rPr>
              <w:t>级</w:t>
            </w:r>
          </w:p>
        </w:tc>
        <w:tc>
          <w:tcPr>
            <w:tcW w:w="2134" w:type="dxa"/>
            <w:vAlign w:val="top"/>
          </w:tcPr>
          <w:p w14:paraId="498CCE4E">
            <w:pPr>
              <w:pStyle w:val="6"/>
              <w:spacing w:before="113" w:line="216" w:lineRule="auto"/>
              <w:ind w:left="866"/>
            </w:pPr>
            <w:r>
              <w:rPr>
                <w:spacing w:val="-3"/>
              </w:rPr>
              <w:t>二级</w:t>
            </w:r>
          </w:p>
        </w:tc>
      </w:tr>
      <w:tr w14:paraId="06776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3" w:type="dxa"/>
            <w:vMerge w:val="restart"/>
            <w:tcBorders>
              <w:bottom w:val="nil"/>
            </w:tcBorders>
            <w:vAlign w:val="top"/>
          </w:tcPr>
          <w:p w14:paraId="6CD9D731">
            <w:pPr>
              <w:pStyle w:val="6"/>
              <w:spacing w:before="297" w:line="319" w:lineRule="auto"/>
              <w:ind w:left="547" w:right="538" w:firstLine="130"/>
            </w:pPr>
            <w:r>
              <w:rPr>
                <w:strike/>
                <w:spacing w:val="-9"/>
              </w:rPr>
              <w:t>内部缺陷</w:t>
            </w:r>
            <w:r>
              <w:t xml:space="preserve">  </w:t>
            </w:r>
            <w:r>
              <w:rPr>
                <w:strike/>
                <w:spacing w:val="-2"/>
              </w:rPr>
              <w:t>超声波探伤</w:t>
            </w:r>
          </w:p>
        </w:tc>
        <w:tc>
          <w:tcPr>
            <w:tcW w:w="2129" w:type="dxa"/>
            <w:vAlign w:val="top"/>
          </w:tcPr>
          <w:p w14:paraId="0F8CAC9D">
            <w:pPr>
              <w:pStyle w:val="6"/>
              <w:spacing w:before="109" w:line="215" w:lineRule="auto"/>
              <w:ind w:left="648"/>
            </w:pPr>
            <w:r>
              <w:rPr>
                <w:strike/>
                <w:spacing w:val="-2"/>
              </w:rPr>
              <w:t>评定等级</w:t>
            </w:r>
          </w:p>
        </w:tc>
        <w:tc>
          <w:tcPr>
            <w:tcW w:w="2130" w:type="dxa"/>
            <w:vAlign w:val="top"/>
          </w:tcPr>
          <w:p w14:paraId="5371E1E5">
            <w:pPr>
              <w:spacing w:before="147" w:line="186" w:lineRule="auto"/>
              <w:ind w:left="1015"/>
              <w:rPr>
                <w:rFonts w:ascii="Times New Roman" w:hAnsi="Times New Roman" w:eastAsia="Times New Roman" w:cs="Times New Roman"/>
                <w:sz w:val="21"/>
                <w:szCs w:val="21"/>
              </w:rPr>
            </w:pPr>
            <w:r>
              <w:rPr>
                <w:rFonts w:ascii="Times New Roman" w:hAnsi="Times New Roman" w:eastAsia="Times New Roman" w:cs="Times New Roman"/>
                <w:strike/>
                <w:sz w:val="21"/>
                <w:szCs w:val="21"/>
              </w:rPr>
              <w:t>2</w:t>
            </w:r>
          </w:p>
        </w:tc>
        <w:tc>
          <w:tcPr>
            <w:tcW w:w="2134" w:type="dxa"/>
            <w:vAlign w:val="top"/>
          </w:tcPr>
          <w:p w14:paraId="491150B9">
            <w:pPr>
              <w:spacing w:before="147" w:line="186" w:lineRule="auto"/>
              <w:ind w:left="1020"/>
              <w:rPr>
                <w:rFonts w:ascii="Times New Roman" w:hAnsi="Times New Roman" w:eastAsia="Times New Roman" w:cs="Times New Roman"/>
                <w:sz w:val="21"/>
                <w:szCs w:val="21"/>
              </w:rPr>
            </w:pPr>
            <w:r>
              <w:rPr>
                <w:rFonts w:ascii="Times New Roman" w:hAnsi="Times New Roman" w:eastAsia="Times New Roman" w:cs="Times New Roman"/>
                <w:strike/>
                <w:sz w:val="21"/>
                <w:szCs w:val="21"/>
              </w:rPr>
              <w:t>3</w:t>
            </w:r>
          </w:p>
        </w:tc>
      </w:tr>
      <w:tr w14:paraId="41720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3" w:type="dxa"/>
            <w:vMerge w:val="continue"/>
            <w:tcBorders>
              <w:top w:val="nil"/>
              <w:bottom w:val="nil"/>
            </w:tcBorders>
            <w:vAlign w:val="top"/>
          </w:tcPr>
          <w:p w14:paraId="7D43148B">
            <w:pPr>
              <w:rPr>
                <w:rFonts w:ascii="Arial"/>
                <w:sz w:val="21"/>
              </w:rPr>
            </w:pPr>
          </w:p>
        </w:tc>
        <w:tc>
          <w:tcPr>
            <w:tcW w:w="2129" w:type="dxa"/>
            <w:vAlign w:val="top"/>
          </w:tcPr>
          <w:p w14:paraId="0EFB752B">
            <w:pPr>
              <w:pStyle w:val="6"/>
              <w:spacing w:before="109" w:line="215" w:lineRule="auto"/>
              <w:ind w:left="649"/>
            </w:pPr>
            <w:r>
              <w:rPr>
                <w:strike/>
                <w:spacing w:val="-2"/>
              </w:rPr>
              <w:t>检验等级</w:t>
            </w:r>
          </w:p>
        </w:tc>
        <w:tc>
          <w:tcPr>
            <w:tcW w:w="2130" w:type="dxa"/>
            <w:vAlign w:val="top"/>
          </w:tcPr>
          <w:p w14:paraId="11333ACD">
            <w:pPr>
              <w:pStyle w:val="6"/>
              <w:spacing w:before="109" w:line="215" w:lineRule="auto"/>
              <w:ind w:left="865"/>
            </w:pPr>
            <w:r>
              <w:rPr>
                <w:rFonts w:ascii="Times New Roman" w:hAnsi="Times New Roman" w:eastAsia="Times New Roman" w:cs="Times New Roman"/>
                <w:strike/>
                <w:spacing w:val="-2"/>
              </w:rPr>
              <w:t>B</w:t>
            </w:r>
            <w:r>
              <w:rPr>
                <w:rFonts w:ascii="Times New Roman" w:hAnsi="Times New Roman" w:eastAsia="Times New Roman" w:cs="Times New Roman"/>
                <w:strike/>
                <w:spacing w:val="12"/>
              </w:rPr>
              <w:t xml:space="preserve"> </w:t>
            </w:r>
            <w:r>
              <w:rPr>
                <w:strike/>
                <w:spacing w:val="-2"/>
              </w:rPr>
              <w:t>级</w:t>
            </w:r>
          </w:p>
        </w:tc>
        <w:tc>
          <w:tcPr>
            <w:tcW w:w="2134" w:type="dxa"/>
            <w:vAlign w:val="top"/>
          </w:tcPr>
          <w:p w14:paraId="7AD336A5">
            <w:pPr>
              <w:pStyle w:val="6"/>
              <w:spacing w:before="109" w:line="215" w:lineRule="auto"/>
              <w:ind w:left="866"/>
            </w:pPr>
            <w:r>
              <w:rPr>
                <w:rFonts w:ascii="Times New Roman" w:hAnsi="Times New Roman" w:eastAsia="Times New Roman" w:cs="Times New Roman"/>
                <w:strike/>
                <w:spacing w:val="-2"/>
              </w:rPr>
              <w:t>B</w:t>
            </w:r>
            <w:r>
              <w:rPr>
                <w:rFonts w:ascii="Times New Roman" w:hAnsi="Times New Roman" w:eastAsia="Times New Roman" w:cs="Times New Roman"/>
                <w:strike/>
                <w:spacing w:val="12"/>
              </w:rPr>
              <w:t xml:space="preserve"> </w:t>
            </w:r>
            <w:r>
              <w:rPr>
                <w:strike/>
                <w:spacing w:val="-2"/>
              </w:rPr>
              <w:t>级</w:t>
            </w:r>
          </w:p>
        </w:tc>
      </w:tr>
      <w:tr w14:paraId="27D3A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2133" w:type="dxa"/>
            <w:vMerge w:val="continue"/>
            <w:tcBorders>
              <w:top w:val="nil"/>
            </w:tcBorders>
            <w:vAlign w:val="top"/>
          </w:tcPr>
          <w:p w14:paraId="00CE54D4">
            <w:pPr>
              <w:rPr>
                <w:rFonts w:ascii="Arial"/>
                <w:sz w:val="21"/>
              </w:rPr>
            </w:pPr>
          </w:p>
        </w:tc>
        <w:tc>
          <w:tcPr>
            <w:tcW w:w="2129" w:type="dxa"/>
            <w:vAlign w:val="top"/>
          </w:tcPr>
          <w:p w14:paraId="2B510072">
            <w:pPr>
              <w:pStyle w:val="6"/>
              <w:spacing w:before="111" w:line="214" w:lineRule="auto"/>
              <w:ind w:left="648"/>
            </w:pPr>
            <w:r>
              <w:rPr>
                <w:strike/>
                <w:spacing w:val="-2"/>
              </w:rPr>
              <w:t>探伤比例</w:t>
            </w:r>
          </w:p>
        </w:tc>
        <w:tc>
          <w:tcPr>
            <w:tcW w:w="2130" w:type="dxa"/>
            <w:vAlign w:val="top"/>
          </w:tcPr>
          <w:p w14:paraId="19B18BF7">
            <w:pPr>
              <w:spacing w:before="149" w:line="186" w:lineRule="auto"/>
              <w:ind w:left="843"/>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100%</w:t>
            </w:r>
          </w:p>
        </w:tc>
        <w:tc>
          <w:tcPr>
            <w:tcW w:w="2134" w:type="dxa"/>
            <w:vAlign w:val="top"/>
          </w:tcPr>
          <w:p w14:paraId="698DD1A3">
            <w:pPr>
              <w:spacing w:before="149" w:line="186" w:lineRule="auto"/>
              <w:ind w:left="875"/>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r>
      <w:tr w14:paraId="0F340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3" w:type="dxa"/>
            <w:vMerge w:val="restart"/>
            <w:tcBorders>
              <w:bottom w:val="nil"/>
            </w:tcBorders>
            <w:vAlign w:val="top"/>
          </w:tcPr>
          <w:p w14:paraId="4FC95708">
            <w:pPr>
              <w:pStyle w:val="6"/>
              <w:spacing w:before="300" w:line="220" w:lineRule="auto"/>
              <w:ind w:left="677"/>
            </w:pPr>
            <w:r>
              <w:rPr>
                <w:strike/>
                <w:spacing w:val="-7"/>
              </w:rPr>
              <w:t>内部缺陷</w:t>
            </w:r>
          </w:p>
          <w:p w14:paraId="50754E28">
            <w:pPr>
              <w:pStyle w:val="6"/>
              <w:spacing w:before="109" w:line="220" w:lineRule="auto"/>
              <w:ind w:left="652"/>
            </w:pPr>
            <w:r>
              <w:rPr>
                <w:strike/>
                <w:spacing w:val="-2"/>
              </w:rPr>
              <w:t>射线探伤</w:t>
            </w:r>
          </w:p>
        </w:tc>
        <w:tc>
          <w:tcPr>
            <w:tcW w:w="2129" w:type="dxa"/>
            <w:vAlign w:val="top"/>
          </w:tcPr>
          <w:p w14:paraId="5C429A35">
            <w:pPr>
              <w:pStyle w:val="6"/>
              <w:spacing w:before="110" w:line="214" w:lineRule="auto"/>
              <w:ind w:left="648"/>
            </w:pPr>
            <w:r>
              <w:rPr>
                <w:strike/>
                <w:spacing w:val="-2"/>
              </w:rPr>
              <w:t>评定等级</w:t>
            </w:r>
          </w:p>
        </w:tc>
        <w:tc>
          <w:tcPr>
            <w:tcW w:w="2130" w:type="dxa"/>
            <w:vAlign w:val="top"/>
          </w:tcPr>
          <w:p w14:paraId="0B3237A8">
            <w:pPr>
              <w:spacing w:before="149" w:line="186" w:lineRule="auto"/>
              <w:ind w:left="1015"/>
              <w:rPr>
                <w:rFonts w:ascii="Times New Roman" w:hAnsi="Times New Roman" w:eastAsia="Times New Roman" w:cs="Times New Roman"/>
                <w:sz w:val="21"/>
                <w:szCs w:val="21"/>
              </w:rPr>
            </w:pPr>
            <w:r>
              <w:rPr>
                <w:rFonts w:ascii="Times New Roman" w:hAnsi="Times New Roman" w:eastAsia="Times New Roman" w:cs="Times New Roman"/>
                <w:strike/>
                <w:sz w:val="21"/>
                <w:szCs w:val="21"/>
              </w:rPr>
              <w:t>2</w:t>
            </w:r>
          </w:p>
        </w:tc>
        <w:tc>
          <w:tcPr>
            <w:tcW w:w="2134" w:type="dxa"/>
            <w:vAlign w:val="top"/>
          </w:tcPr>
          <w:p w14:paraId="69EB480A">
            <w:pPr>
              <w:spacing w:before="149" w:line="186" w:lineRule="auto"/>
              <w:ind w:left="1020"/>
              <w:rPr>
                <w:rFonts w:ascii="Times New Roman" w:hAnsi="Times New Roman" w:eastAsia="Times New Roman" w:cs="Times New Roman"/>
                <w:sz w:val="21"/>
                <w:szCs w:val="21"/>
              </w:rPr>
            </w:pPr>
            <w:r>
              <w:rPr>
                <w:rFonts w:ascii="Times New Roman" w:hAnsi="Times New Roman" w:eastAsia="Times New Roman" w:cs="Times New Roman"/>
                <w:strike/>
                <w:sz w:val="21"/>
                <w:szCs w:val="21"/>
              </w:rPr>
              <w:t>3</w:t>
            </w:r>
          </w:p>
        </w:tc>
      </w:tr>
      <w:tr w14:paraId="5D552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133" w:type="dxa"/>
            <w:vMerge w:val="continue"/>
            <w:tcBorders>
              <w:top w:val="nil"/>
              <w:bottom w:val="nil"/>
            </w:tcBorders>
            <w:vAlign w:val="top"/>
          </w:tcPr>
          <w:p w14:paraId="6632D1B9">
            <w:pPr>
              <w:rPr>
                <w:rFonts w:ascii="Arial"/>
                <w:sz w:val="21"/>
              </w:rPr>
            </w:pPr>
          </w:p>
        </w:tc>
        <w:tc>
          <w:tcPr>
            <w:tcW w:w="2129" w:type="dxa"/>
            <w:vAlign w:val="top"/>
          </w:tcPr>
          <w:p w14:paraId="1C5AE6C9">
            <w:pPr>
              <w:pStyle w:val="6"/>
              <w:spacing w:before="111" w:line="213" w:lineRule="auto"/>
              <w:ind w:left="649"/>
            </w:pPr>
            <w:r>
              <w:rPr>
                <w:strike/>
                <w:spacing w:val="-2"/>
              </w:rPr>
              <w:t>检验等级</w:t>
            </w:r>
          </w:p>
        </w:tc>
        <w:tc>
          <w:tcPr>
            <w:tcW w:w="2130" w:type="dxa"/>
            <w:vAlign w:val="top"/>
          </w:tcPr>
          <w:p w14:paraId="0FC53840">
            <w:pPr>
              <w:pStyle w:val="6"/>
              <w:spacing w:before="111" w:line="213" w:lineRule="auto"/>
              <w:ind w:left="787"/>
            </w:pPr>
            <w:r>
              <w:rPr>
                <w:rFonts w:ascii="Times New Roman" w:hAnsi="Times New Roman" w:eastAsia="Times New Roman" w:cs="Times New Roman"/>
                <w:strike/>
                <w:spacing w:val="-1"/>
              </w:rPr>
              <w:t>AB</w:t>
            </w:r>
            <w:r>
              <w:rPr>
                <w:rFonts w:ascii="Times New Roman" w:hAnsi="Times New Roman" w:eastAsia="Times New Roman" w:cs="Times New Roman"/>
                <w:strike/>
                <w:spacing w:val="12"/>
              </w:rPr>
              <w:t xml:space="preserve"> </w:t>
            </w:r>
            <w:r>
              <w:rPr>
                <w:strike/>
                <w:spacing w:val="-1"/>
              </w:rPr>
              <w:t>级</w:t>
            </w:r>
          </w:p>
        </w:tc>
        <w:tc>
          <w:tcPr>
            <w:tcW w:w="2134" w:type="dxa"/>
            <w:vAlign w:val="top"/>
          </w:tcPr>
          <w:p w14:paraId="3E080733">
            <w:pPr>
              <w:pStyle w:val="6"/>
              <w:spacing w:before="111" w:line="213" w:lineRule="auto"/>
              <w:ind w:left="789"/>
            </w:pPr>
            <w:r>
              <w:rPr>
                <w:rFonts w:ascii="Times New Roman" w:hAnsi="Times New Roman" w:eastAsia="Times New Roman" w:cs="Times New Roman"/>
                <w:strike/>
                <w:spacing w:val="-1"/>
              </w:rPr>
              <w:t>AB</w:t>
            </w:r>
            <w:r>
              <w:rPr>
                <w:rFonts w:ascii="Times New Roman" w:hAnsi="Times New Roman" w:eastAsia="Times New Roman" w:cs="Times New Roman"/>
                <w:strike/>
                <w:spacing w:val="12"/>
              </w:rPr>
              <w:t xml:space="preserve"> </w:t>
            </w:r>
            <w:r>
              <w:rPr>
                <w:strike/>
                <w:spacing w:val="-1"/>
              </w:rPr>
              <w:t>级</w:t>
            </w:r>
          </w:p>
        </w:tc>
      </w:tr>
      <w:tr w14:paraId="4A950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133" w:type="dxa"/>
            <w:vMerge w:val="continue"/>
            <w:tcBorders>
              <w:top w:val="nil"/>
            </w:tcBorders>
            <w:vAlign w:val="top"/>
          </w:tcPr>
          <w:p w14:paraId="2A3C97B2">
            <w:pPr>
              <w:rPr>
                <w:rFonts w:ascii="Arial"/>
                <w:sz w:val="21"/>
              </w:rPr>
            </w:pPr>
          </w:p>
        </w:tc>
        <w:tc>
          <w:tcPr>
            <w:tcW w:w="2129" w:type="dxa"/>
            <w:vAlign w:val="top"/>
          </w:tcPr>
          <w:p w14:paraId="60A91D88">
            <w:pPr>
              <w:pStyle w:val="6"/>
              <w:spacing w:before="113" w:line="217" w:lineRule="auto"/>
              <w:ind w:left="648"/>
            </w:pPr>
            <w:r>
              <w:rPr>
                <w:strike/>
                <w:spacing w:val="-2"/>
              </w:rPr>
              <w:t>探伤比例</w:t>
            </w:r>
          </w:p>
        </w:tc>
        <w:tc>
          <w:tcPr>
            <w:tcW w:w="2130" w:type="dxa"/>
            <w:vAlign w:val="top"/>
          </w:tcPr>
          <w:p w14:paraId="77EED0CA">
            <w:pPr>
              <w:spacing w:before="151" w:line="186" w:lineRule="auto"/>
              <w:ind w:left="843"/>
              <w:rPr>
                <w:rFonts w:ascii="Times New Roman" w:hAnsi="Times New Roman" w:eastAsia="Times New Roman" w:cs="Times New Roman"/>
                <w:sz w:val="21"/>
                <w:szCs w:val="21"/>
              </w:rPr>
            </w:pPr>
            <w:r>
              <w:rPr>
                <w:rFonts w:ascii="Times New Roman" w:hAnsi="Times New Roman" w:eastAsia="Times New Roman" w:cs="Times New Roman"/>
                <w:strike/>
                <w:spacing w:val="-6"/>
                <w:sz w:val="21"/>
                <w:szCs w:val="21"/>
              </w:rPr>
              <w:t>100%</w:t>
            </w:r>
          </w:p>
        </w:tc>
        <w:tc>
          <w:tcPr>
            <w:tcW w:w="2134" w:type="dxa"/>
            <w:vAlign w:val="top"/>
          </w:tcPr>
          <w:p w14:paraId="53B0F7A1">
            <w:pPr>
              <w:spacing w:before="151" w:line="186" w:lineRule="auto"/>
              <w:ind w:left="875"/>
              <w:rPr>
                <w:rFonts w:ascii="Times New Roman" w:hAnsi="Times New Roman" w:eastAsia="Times New Roman" w:cs="Times New Roman"/>
                <w:sz w:val="21"/>
                <w:szCs w:val="21"/>
              </w:rPr>
            </w:pPr>
            <w:r>
              <w:rPr>
                <w:rFonts w:ascii="Times New Roman" w:hAnsi="Times New Roman" w:eastAsia="Times New Roman" w:cs="Times New Roman"/>
                <w:strike/>
                <w:spacing w:val="-1"/>
                <w:sz w:val="21"/>
                <w:szCs w:val="21"/>
              </w:rPr>
              <w:t>20%</w:t>
            </w:r>
          </w:p>
        </w:tc>
      </w:tr>
    </w:tbl>
    <w:p w14:paraId="5C634331">
      <w:pPr>
        <w:spacing w:before="107" w:line="220" w:lineRule="auto"/>
        <w:jc w:val="right"/>
        <w:rPr>
          <w:rFonts w:ascii="宋体" w:hAnsi="宋体" w:eastAsia="宋体" w:cs="宋体"/>
          <w:sz w:val="21"/>
          <w:szCs w:val="21"/>
        </w:rPr>
      </w:pPr>
      <w:r>
        <w:rPr>
          <w:rFonts w:ascii="宋体" w:hAnsi="宋体" w:eastAsia="宋体" w:cs="宋体"/>
          <w:strike/>
          <w:spacing w:val="-2"/>
          <w:sz w:val="21"/>
          <w:szCs w:val="21"/>
        </w:rPr>
        <w:t>注：探伤比例的计数方法应按以下原则</w:t>
      </w:r>
      <w:r>
        <w:rPr>
          <w:rFonts w:ascii="宋体" w:hAnsi="宋体" w:eastAsia="宋体" w:cs="宋体"/>
          <w:strike/>
          <w:spacing w:val="1"/>
          <w:sz w:val="21"/>
          <w:szCs w:val="21"/>
        </w:rPr>
        <w:t>：（</w:t>
      </w:r>
      <w:r>
        <w:rPr>
          <w:rFonts w:ascii="Times New Roman" w:hAnsi="Times New Roman" w:eastAsia="Times New Roman" w:cs="Times New Roman"/>
          <w:strike/>
          <w:spacing w:val="-2"/>
          <w:sz w:val="21"/>
          <w:szCs w:val="21"/>
        </w:rPr>
        <w:t>1</w:t>
      </w:r>
      <w:r>
        <w:rPr>
          <w:rFonts w:ascii="宋体" w:hAnsi="宋体" w:eastAsia="宋体" w:cs="宋体"/>
          <w:strike/>
          <w:spacing w:val="-2"/>
          <w:sz w:val="21"/>
          <w:szCs w:val="21"/>
        </w:rPr>
        <w:t>）对工厂制作焊缝，应按每条焊缝计算百分比，</w:t>
      </w:r>
      <w:r>
        <w:rPr>
          <w:rFonts w:ascii="宋体" w:hAnsi="宋体" w:eastAsia="宋体" w:cs="宋体"/>
          <w:strike/>
          <w:spacing w:val="-3"/>
          <w:sz w:val="21"/>
          <w:szCs w:val="21"/>
        </w:rPr>
        <w:t>且探伤</w:t>
      </w:r>
    </w:p>
    <w:p w14:paraId="5B9FCB9E">
      <w:pPr>
        <w:spacing w:line="220" w:lineRule="auto"/>
        <w:rPr>
          <w:rFonts w:ascii="宋体" w:hAnsi="宋体" w:eastAsia="宋体" w:cs="宋体"/>
          <w:sz w:val="21"/>
          <w:szCs w:val="21"/>
        </w:rPr>
        <w:sectPr>
          <w:footerReference r:id="rId26" w:type="default"/>
          <w:pgSz w:w="11907" w:h="16839"/>
          <w:pgMar w:top="400" w:right="1429" w:bottom="743" w:left="1421" w:header="0" w:footer="582" w:gutter="0"/>
          <w:cols w:space="720" w:num="1"/>
        </w:sectPr>
      </w:pPr>
    </w:p>
    <w:p w14:paraId="402E8C34">
      <w:pPr>
        <w:pStyle w:val="2"/>
        <w:spacing w:line="292" w:lineRule="auto"/>
      </w:pPr>
    </w:p>
    <w:p w14:paraId="70015C45">
      <w:pPr>
        <w:pStyle w:val="2"/>
        <w:spacing w:line="292" w:lineRule="auto"/>
      </w:pPr>
    </w:p>
    <w:p w14:paraId="43ED7B7D">
      <w:pPr>
        <w:pStyle w:val="2"/>
        <w:spacing w:line="292" w:lineRule="auto"/>
      </w:pPr>
    </w:p>
    <w:p w14:paraId="2739F6CE">
      <w:pPr>
        <w:spacing w:before="71" w:line="309" w:lineRule="auto"/>
        <w:jc w:val="both"/>
        <w:rPr>
          <w:rFonts w:ascii="宋体" w:hAnsi="宋体" w:eastAsia="宋体" w:cs="宋体"/>
          <w:sz w:val="22"/>
          <w:szCs w:val="22"/>
        </w:rPr>
      </w:pPr>
      <w:r>
        <w:rPr>
          <w:rFonts w:ascii="宋体" w:hAnsi="宋体" w:eastAsia="宋体" w:cs="宋体"/>
          <w:spacing w:val="-4"/>
          <w:sz w:val="22"/>
          <w:szCs w:val="22"/>
        </w:rPr>
        <w:t>长度不应小于200</w:t>
      </w:r>
      <w:r>
        <w:rPr>
          <w:rFonts w:ascii="Times New Roman" w:hAnsi="Times New Roman" w:eastAsia="Times New Roman" w:cs="Times New Roman"/>
          <w:spacing w:val="-4"/>
          <w:sz w:val="22"/>
          <w:szCs w:val="22"/>
        </w:rPr>
        <w:t>mm,</w:t>
      </w:r>
      <w:r>
        <w:rPr>
          <w:rFonts w:ascii="Times New Roman" w:hAnsi="Times New Roman" w:eastAsia="Times New Roman" w:cs="Times New Roman"/>
          <w:spacing w:val="56"/>
          <w:w w:val="101"/>
          <w:sz w:val="22"/>
          <w:szCs w:val="22"/>
        </w:rPr>
        <w:t xml:space="preserve"> </w:t>
      </w:r>
      <w:r>
        <w:rPr>
          <w:rFonts w:ascii="宋体" w:hAnsi="宋体" w:eastAsia="宋体" w:cs="宋体"/>
          <w:spacing w:val="-4"/>
          <w:sz w:val="22"/>
          <w:szCs w:val="22"/>
        </w:rPr>
        <w:t>当焊缝长度不足200</w:t>
      </w:r>
      <w:r>
        <w:rPr>
          <w:rFonts w:ascii="Times New Roman" w:hAnsi="Times New Roman" w:eastAsia="Times New Roman" w:cs="Times New Roman"/>
          <w:spacing w:val="-4"/>
          <w:sz w:val="22"/>
          <w:szCs w:val="22"/>
        </w:rPr>
        <w:t>mm</w:t>
      </w:r>
      <w:r>
        <w:rPr>
          <w:rFonts w:ascii="Times New Roman" w:hAnsi="Times New Roman" w:eastAsia="Times New Roman" w:cs="Times New Roman"/>
          <w:spacing w:val="-25"/>
          <w:sz w:val="22"/>
          <w:szCs w:val="22"/>
        </w:rPr>
        <w:t xml:space="preserve"> </w:t>
      </w:r>
      <w:r>
        <w:rPr>
          <w:rFonts w:ascii="宋体" w:hAnsi="宋体" w:eastAsia="宋体" w:cs="宋体"/>
          <w:spacing w:val="-4"/>
          <w:sz w:val="22"/>
          <w:szCs w:val="22"/>
        </w:rPr>
        <w:t>时，应对整条焊缝进行探伤；(2)对现场安装焊缝，</w:t>
      </w:r>
      <w:r>
        <w:rPr>
          <w:rFonts w:ascii="宋体" w:hAnsi="宋体" w:eastAsia="宋体" w:cs="宋体"/>
          <w:sz w:val="22"/>
          <w:szCs w:val="22"/>
        </w:rPr>
        <w:t xml:space="preserve"> </w:t>
      </w:r>
      <w:r>
        <w:rPr>
          <w:rFonts w:ascii="宋体" w:hAnsi="宋体" w:eastAsia="宋体" w:cs="宋体"/>
          <w:spacing w:val="-2"/>
          <w:sz w:val="22"/>
          <w:szCs w:val="22"/>
        </w:rPr>
        <w:t>应</w:t>
      </w:r>
      <w:r>
        <w:rPr>
          <w:rFonts w:ascii="宋体" w:hAnsi="宋体" w:eastAsia="宋体" w:cs="宋体"/>
          <w:spacing w:val="-2"/>
          <w:sz w:val="22"/>
          <w:szCs w:val="22"/>
          <w:u w:val="single" w:color="auto"/>
        </w:rPr>
        <w:t>按同一类型、同一施焊条件的焊缝条数计算百分比，探伤长度不应小于200mm,并不应小于1条</w:t>
      </w:r>
      <w:r>
        <w:rPr>
          <w:rFonts w:ascii="宋体" w:hAnsi="宋体" w:eastAsia="宋体" w:cs="宋体"/>
          <w:spacing w:val="9"/>
          <w:sz w:val="22"/>
          <w:szCs w:val="22"/>
        </w:rPr>
        <w:t xml:space="preserve">  </w:t>
      </w:r>
      <w:r>
        <w:rPr>
          <w:rFonts w:ascii="宋体" w:hAnsi="宋体" w:eastAsia="宋体" w:cs="宋体"/>
          <w:spacing w:val="17"/>
          <w:sz w:val="22"/>
          <w:szCs w:val="22"/>
        </w:rPr>
        <w:t>焊缝</w:t>
      </w:r>
      <w:r>
        <w:rPr>
          <w:rFonts w:ascii="宋体" w:hAnsi="宋体" w:eastAsia="宋体" w:cs="宋体"/>
          <w:spacing w:val="-50"/>
          <w:sz w:val="22"/>
          <w:szCs w:val="22"/>
        </w:rPr>
        <w:t xml:space="preserve"> </w:t>
      </w:r>
      <w:r>
        <w:rPr>
          <w:rFonts w:ascii="宋体" w:hAnsi="宋体" w:eastAsia="宋体" w:cs="宋体"/>
          <w:spacing w:val="17"/>
          <w:sz w:val="22"/>
          <w:szCs w:val="22"/>
        </w:rPr>
        <w:t>。</w:t>
      </w:r>
    </w:p>
    <w:p w14:paraId="1E12B6D2">
      <w:pPr>
        <w:spacing w:before="22" w:line="275" w:lineRule="auto"/>
        <w:ind w:right="50"/>
        <w:rPr>
          <w:rFonts w:ascii="宋体" w:hAnsi="宋体" w:eastAsia="宋体" w:cs="宋体"/>
          <w:sz w:val="24"/>
          <w:szCs w:val="24"/>
        </w:rPr>
      </w:pPr>
      <w:r>
        <w:rPr>
          <w:rFonts w:ascii="宋体" w:hAnsi="宋体" w:eastAsia="宋体" w:cs="宋体"/>
          <w:spacing w:val="-3"/>
          <w:sz w:val="24"/>
          <w:szCs w:val="24"/>
        </w:rPr>
        <w:t>4.5.1—钢管混凝土柱与钢管混凝土梁连接节点核心区的构造及钢筋</w:t>
      </w:r>
      <w:r>
        <w:rPr>
          <w:rFonts w:ascii="宋体" w:hAnsi="宋体" w:eastAsia="宋体" w:cs="宋体"/>
          <w:spacing w:val="-4"/>
          <w:sz w:val="24"/>
          <w:szCs w:val="24"/>
        </w:rPr>
        <w:t>的规格、位置、数量</w:t>
      </w:r>
      <w:r>
        <w:rPr>
          <w:rFonts w:ascii="宋体" w:hAnsi="宋体" w:eastAsia="宋体" w:cs="宋体"/>
          <w:sz w:val="24"/>
          <w:szCs w:val="24"/>
        </w:rPr>
        <w:t xml:space="preserve"> </w:t>
      </w:r>
      <w:r>
        <w:rPr>
          <w:rFonts w:ascii="宋体" w:hAnsi="宋体" w:eastAsia="宋体" w:cs="宋体"/>
          <w:spacing w:val="13"/>
          <w:sz w:val="24"/>
          <w:szCs w:val="24"/>
        </w:rPr>
        <w:t>应符合设计要求。</w:t>
      </w:r>
    </w:p>
    <w:p w14:paraId="4A0DED9C">
      <w:pPr>
        <w:spacing w:before="165" w:line="219" w:lineRule="auto"/>
        <w:rPr>
          <w:rFonts w:ascii="宋体" w:hAnsi="宋体" w:eastAsia="宋体" w:cs="宋体"/>
          <w:sz w:val="24"/>
          <w:szCs w:val="24"/>
        </w:rPr>
      </w:pPr>
      <w:r>
        <w:rPr>
          <w:rFonts w:ascii="宋体" w:hAnsi="宋体" w:eastAsia="宋体" w:cs="宋体"/>
          <w:spacing w:val="11"/>
          <w:sz w:val="24"/>
          <w:szCs w:val="24"/>
          <w:u w:val="single" w:color="auto"/>
        </w:rPr>
        <w:t>4.7.1钢管内混凝土的强度等级应符合设计要求</w:t>
      </w:r>
      <w:r>
        <w:rPr>
          <w:rFonts w:ascii="宋体" w:hAnsi="宋体" w:eastAsia="宋体" w:cs="宋体"/>
          <w:spacing w:val="6"/>
          <w:sz w:val="24"/>
          <w:szCs w:val="24"/>
          <w:u w:val="single" w:color="auto"/>
        </w:rPr>
        <w:t xml:space="preserve">  </w:t>
      </w:r>
    </w:p>
    <w:p w14:paraId="15F937CA">
      <w:pPr>
        <w:spacing w:before="192" w:line="219" w:lineRule="auto"/>
        <w:outlineLvl w:val="1"/>
        <w:rPr>
          <w:rFonts w:ascii="宋体" w:hAnsi="宋体" w:eastAsia="宋体" w:cs="宋体"/>
          <w:sz w:val="28"/>
          <w:szCs w:val="28"/>
        </w:rPr>
      </w:pPr>
      <w:bookmarkStart w:id="29" w:name="bookmark77"/>
      <w:bookmarkEnd w:id="29"/>
      <w:r>
        <w:rPr>
          <w:rFonts w:ascii="Times New Roman" w:hAnsi="Times New Roman" w:eastAsia="Times New Roman" w:cs="Times New Roman"/>
          <w:spacing w:val="-1"/>
          <w:sz w:val="28"/>
          <w:szCs w:val="28"/>
        </w:rPr>
        <w:t xml:space="preserve">13.GB50642-2011  </w:t>
      </w:r>
      <w:r>
        <w:rPr>
          <w:rFonts w:ascii="宋体" w:hAnsi="宋体" w:eastAsia="宋体" w:cs="宋体"/>
          <w:b/>
          <w:bCs/>
          <w:spacing w:val="-1"/>
          <w:sz w:val="28"/>
          <w:szCs w:val="28"/>
        </w:rPr>
        <w:t>无障碍</w:t>
      </w:r>
      <w:r>
        <w:rPr>
          <w:rFonts w:ascii="宋体" w:hAnsi="宋体" w:eastAsia="宋体" w:cs="宋体"/>
          <w:b/>
          <w:bCs/>
          <w:spacing w:val="-2"/>
          <w:sz w:val="28"/>
          <w:szCs w:val="28"/>
        </w:rPr>
        <w:t>设施施工验收及维护规范</w:t>
      </w:r>
    </w:p>
    <w:p w14:paraId="2CBA326F">
      <w:pPr>
        <w:spacing w:before="300" w:line="219" w:lineRule="auto"/>
        <w:rPr>
          <w:rFonts w:ascii="宋体" w:hAnsi="宋体" w:eastAsia="宋体" w:cs="宋体"/>
          <w:sz w:val="24"/>
          <w:szCs w:val="24"/>
        </w:rPr>
      </w:pPr>
      <w:r>
        <w:rPr>
          <w:rFonts w:ascii="Times New Roman" w:hAnsi="Times New Roman" w:eastAsia="Times New Roman" w:cs="Times New Roman"/>
          <w:spacing w:val="-2"/>
          <w:sz w:val="24"/>
          <w:szCs w:val="24"/>
        </w:rPr>
        <w:t>3.1.12</w:t>
      </w:r>
      <w:r>
        <w:rPr>
          <w:rFonts w:ascii="Times New Roman" w:hAnsi="Times New Roman" w:eastAsia="Times New Roman" w:cs="Times New Roman"/>
          <w:spacing w:val="22"/>
          <w:sz w:val="24"/>
          <w:szCs w:val="24"/>
        </w:rPr>
        <w:t xml:space="preserve">   </w:t>
      </w:r>
      <w:r>
        <w:rPr>
          <w:rFonts w:ascii="宋体" w:hAnsi="宋体" w:eastAsia="宋体" w:cs="宋体"/>
          <w:spacing w:val="-2"/>
          <w:sz w:val="24"/>
          <w:szCs w:val="24"/>
        </w:rPr>
        <w:t>安全抓杆预埋件应进行验收。</w:t>
      </w:r>
    </w:p>
    <w:p w14:paraId="32808DA6">
      <w:pPr>
        <w:spacing w:before="136" w:line="290" w:lineRule="auto"/>
        <w:ind w:right="189"/>
        <w:rPr>
          <w:rFonts w:ascii="宋体" w:hAnsi="宋体" w:eastAsia="宋体" w:cs="宋体"/>
          <w:sz w:val="24"/>
          <w:szCs w:val="24"/>
        </w:rPr>
      </w:pPr>
      <w:r>
        <w:rPr>
          <w:rFonts w:ascii="Times New Roman" w:hAnsi="Times New Roman" w:eastAsia="Times New Roman" w:cs="Times New Roman"/>
          <w:sz w:val="24"/>
          <w:szCs w:val="24"/>
        </w:rPr>
        <w:t>3.1.14</w:t>
      </w:r>
      <w:r>
        <w:rPr>
          <w:rFonts w:ascii="Times New Roman" w:hAnsi="Times New Roman" w:eastAsia="Times New Roman" w:cs="Times New Roman"/>
          <w:spacing w:val="16"/>
          <w:w w:val="101"/>
          <w:sz w:val="24"/>
          <w:szCs w:val="24"/>
        </w:rPr>
        <w:t xml:space="preserve">   </w:t>
      </w:r>
      <w:r>
        <w:rPr>
          <w:rFonts w:ascii="宋体" w:hAnsi="宋体" w:eastAsia="宋体" w:cs="宋体"/>
          <w:sz w:val="24"/>
          <w:szCs w:val="24"/>
        </w:rPr>
        <w:t>通过返修或加固处理仍不能满</w:t>
      </w:r>
      <w:r>
        <w:rPr>
          <w:rFonts w:ascii="宋体" w:hAnsi="宋体" w:eastAsia="宋体" w:cs="宋体"/>
          <w:spacing w:val="-1"/>
          <w:sz w:val="24"/>
          <w:szCs w:val="24"/>
        </w:rPr>
        <w:t>足安全和使用要求的无障碍设施分项工程，不得</w:t>
      </w:r>
      <w:r>
        <w:rPr>
          <w:rFonts w:ascii="宋体" w:hAnsi="宋体" w:eastAsia="宋体" w:cs="宋体"/>
          <w:sz w:val="24"/>
          <w:szCs w:val="24"/>
        </w:rPr>
        <w:t xml:space="preserve"> 验收。</w:t>
      </w:r>
    </w:p>
    <w:p w14:paraId="7C9E6D9A">
      <w:pPr>
        <w:spacing w:before="155" w:line="219" w:lineRule="auto"/>
        <w:rPr>
          <w:rFonts w:ascii="宋体" w:hAnsi="宋体" w:eastAsia="宋体" w:cs="宋体"/>
          <w:sz w:val="24"/>
          <w:szCs w:val="24"/>
        </w:rPr>
      </w:pPr>
      <w:r>
        <w:rPr>
          <w:rFonts w:ascii="Times New Roman" w:hAnsi="Times New Roman" w:eastAsia="Times New Roman" w:cs="Times New Roman"/>
          <w:spacing w:val="-1"/>
          <w:sz w:val="24"/>
          <w:szCs w:val="24"/>
        </w:rPr>
        <w:t>3.14.8</w:t>
      </w:r>
      <w:r>
        <w:rPr>
          <w:rFonts w:ascii="Times New Roman" w:hAnsi="Times New Roman" w:eastAsia="Times New Roman" w:cs="Times New Roman"/>
          <w:spacing w:val="20"/>
          <w:w w:val="101"/>
          <w:sz w:val="24"/>
          <w:szCs w:val="24"/>
        </w:rPr>
        <w:t xml:space="preserve">   </w:t>
      </w:r>
      <w:r>
        <w:rPr>
          <w:rFonts w:ascii="宋体" w:hAnsi="宋体" w:eastAsia="宋体" w:cs="宋体"/>
          <w:spacing w:val="-1"/>
          <w:sz w:val="24"/>
          <w:szCs w:val="24"/>
        </w:rPr>
        <w:t>厕所和厕位的安全抓杆应安装牢固，支撑力应符合设计要求。</w:t>
      </w:r>
    </w:p>
    <w:p w14:paraId="5A26077F">
      <w:pPr>
        <w:spacing w:before="145" w:line="219" w:lineRule="auto"/>
        <w:rPr>
          <w:rFonts w:ascii="宋体" w:hAnsi="宋体" w:eastAsia="宋体" w:cs="宋体"/>
          <w:sz w:val="24"/>
          <w:szCs w:val="24"/>
        </w:rPr>
      </w:pPr>
      <w:r>
        <w:rPr>
          <w:rFonts w:ascii="Times New Roman" w:hAnsi="Times New Roman" w:eastAsia="Times New Roman" w:cs="Times New Roman"/>
          <w:sz w:val="24"/>
          <w:szCs w:val="24"/>
        </w:rPr>
        <w:t>3.15.8</w:t>
      </w:r>
      <w:r>
        <w:rPr>
          <w:rFonts w:ascii="Times New Roman" w:hAnsi="Times New Roman" w:eastAsia="Times New Roman" w:cs="Times New Roman"/>
          <w:spacing w:val="16"/>
          <w:w w:val="101"/>
          <w:sz w:val="24"/>
          <w:szCs w:val="24"/>
        </w:rPr>
        <w:t xml:space="preserve">   </w:t>
      </w:r>
      <w:r>
        <w:rPr>
          <w:rFonts w:ascii="宋体" w:hAnsi="宋体" w:eastAsia="宋体" w:cs="宋体"/>
          <w:sz w:val="24"/>
          <w:szCs w:val="24"/>
        </w:rPr>
        <w:t>浴室的安全抓杆应安装坚固，</w:t>
      </w:r>
      <w:r>
        <w:rPr>
          <w:rFonts w:ascii="宋体" w:hAnsi="宋体" w:eastAsia="宋体" w:cs="宋体"/>
          <w:spacing w:val="-1"/>
          <w:sz w:val="24"/>
          <w:szCs w:val="24"/>
        </w:rPr>
        <w:t>支撑力应符合设计要求。</w:t>
      </w:r>
    </w:p>
    <w:p w14:paraId="27C0CE2E">
      <w:pPr>
        <w:spacing w:before="194" w:line="220" w:lineRule="auto"/>
        <w:outlineLvl w:val="1"/>
        <w:rPr>
          <w:rFonts w:ascii="宋体" w:hAnsi="宋体" w:eastAsia="宋体" w:cs="宋体"/>
          <w:sz w:val="28"/>
          <w:szCs w:val="28"/>
        </w:rPr>
      </w:pPr>
      <w:bookmarkStart w:id="30" w:name="bookmark78"/>
      <w:bookmarkEnd w:id="30"/>
      <w:r>
        <w:rPr>
          <w:rFonts w:ascii="Times New Roman" w:hAnsi="Times New Roman" w:eastAsia="Times New Roman" w:cs="Times New Roman"/>
          <w:spacing w:val="-3"/>
          <w:sz w:val="28"/>
          <w:szCs w:val="28"/>
        </w:rPr>
        <w:t>14.GB50755-2012</w:t>
      </w:r>
      <w:r>
        <w:rPr>
          <w:rFonts w:ascii="Times New Roman" w:hAnsi="Times New Roman" w:eastAsia="Times New Roman" w:cs="Times New Roman"/>
          <w:spacing w:val="19"/>
          <w:sz w:val="28"/>
          <w:szCs w:val="28"/>
        </w:rPr>
        <w:t xml:space="preserve">  </w:t>
      </w:r>
      <w:r>
        <w:rPr>
          <w:rFonts w:ascii="宋体" w:hAnsi="宋体" w:eastAsia="宋体" w:cs="宋体"/>
          <w:b/>
          <w:bCs/>
          <w:spacing w:val="-3"/>
          <w:sz w:val="28"/>
          <w:szCs w:val="28"/>
        </w:rPr>
        <w:t>钢结构工程施工规范</w:t>
      </w:r>
    </w:p>
    <w:p w14:paraId="1AF53F39">
      <w:pPr>
        <w:spacing w:before="229" w:line="219" w:lineRule="auto"/>
        <w:rPr>
          <w:rFonts w:ascii="宋体" w:hAnsi="宋体" w:eastAsia="宋体" w:cs="宋体"/>
          <w:sz w:val="26"/>
          <w:szCs w:val="26"/>
        </w:rPr>
      </w:pPr>
      <w:r>
        <w:rPr>
          <w:rFonts w:ascii="Times New Roman" w:hAnsi="Times New Roman" w:eastAsia="Times New Roman" w:cs="Times New Roman"/>
          <w:spacing w:val="-16"/>
          <w:sz w:val="26"/>
          <w:szCs w:val="26"/>
        </w:rPr>
        <w:t xml:space="preserve">11.2.4    </w:t>
      </w:r>
      <w:r>
        <w:rPr>
          <w:rFonts w:ascii="宋体" w:hAnsi="宋体" w:eastAsia="宋体" w:cs="宋体"/>
          <w:spacing w:val="-16"/>
          <w:sz w:val="26"/>
          <w:szCs w:val="26"/>
        </w:rPr>
        <w:t>钢结构吊装作业必须在起重设备的额定起重量</w:t>
      </w:r>
      <w:r>
        <w:rPr>
          <w:rFonts w:ascii="宋体" w:hAnsi="宋体" w:eastAsia="宋体" w:cs="宋体"/>
          <w:spacing w:val="-17"/>
          <w:sz w:val="26"/>
          <w:szCs w:val="26"/>
        </w:rPr>
        <w:t>范围内进行。</w:t>
      </w:r>
    </w:p>
    <w:p w14:paraId="71C9D120">
      <w:pPr>
        <w:spacing w:before="191" w:line="290" w:lineRule="auto"/>
        <w:ind w:right="154"/>
        <w:rPr>
          <w:rFonts w:ascii="宋体" w:hAnsi="宋体" w:eastAsia="宋体" w:cs="宋体"/>
          <w:sz w:val="24"/>
          <w:szCs w:val="24"/>
        </w:rPr>
      </w:pPr>
      <w:r>
        <w:rPr>
          <w:rFonts w:ascii="Times New Roman" w:hAnsi="Times New Roman" w:eastAsia="Times New Roman" w:cs="Times New Roman"/>
          <w:sz w:val="24"/>
          <w:szCs w:val="24"/>
        </w:rPr>
        <w:t xml:space="preserve">11.2.6    </w:t>
      </w:r>
      <w:r>
        <w:rPr>
          <w:rFonts w:ascii="宋体" w:hAnsi="宋体" w:eastAsia="宋体" w:cs="宋体"/>
          <w:sz w:val="24"/>
          <w:szCs w:val="24"/>
        </w:rPr>
        <w:t>用于吊装的钢丝绳、吊装带、卸扣、吊钩等吊具应经检查合格，并应在其额定</w:t>
      </w:r>
      <w:r>
        <w:rPr>
          <w:rFonts w:ascii="宋体" w:hAnsi="宋体" w:eastAsia="宋体" w:cs="宋体"/>
          <w:spacing w:val="4"/>
          <w:sz w:val="24"/>
          <w:szCs w:val="24"/>
        </w:rPr>
        <w:t xml:space="preserve"> </w:t>
      </w:r>
      <w:r>
        <w:rPr>
          <w:rFonts w:ascii="宋体" w:hAnsi="宋体" w:eastAsia="宋体" w:cs="宋体"/>
          <w:spacing w:val="-5"/>
          <w:sz w:val="24"/>
          <w:szCs w:val="24"/>
        </w:rPr>
        <w:t>许用荷载范围内使用。</w:t>
      </w:r>
    </w:p>
    <w:p w14:paraId="4336B4F1">
      <w:pPr>
        <w:spacing w:before="263" w:line="219" w:lineRule="auto"/>
        <w:outlineLvl w:val="1"/>
        <w:rPr>
          <w:rFonts w:ascii="宋体" w:hAnsi="宋体" w:eastAsia="宋体" w:cs="宋体"/>
          <w:sz w:val="28"/>
          <w:szCs w:val="28"/>
        </w:rPr>
      </w:pPr>
      <w:bookmarkStart w:id="31" w:name="bookmark79"/>
      <w:bookmarkEnd w:id="31"/>
      <w:r>
        <w:rPr>
          <w:rFonts w:ascii="Times New Roman" w:hAnsi="Times New Roman" w:eastAsia="Times New Roman" w:cs="Times New Roman"/>
          <w:spacing w:val="-1"/>
          <w:sz w:val="28"/>
          <w:szCs w:val="28"/>
        </w:rPr>
        <w:t xml:space="preserve">15.GB50924-2014  </w:t>
      </w:r>
      <w:r>
        <w:rPr>
          <w:rFonts w:ascii="宋体" w:hAnsi="宋体" w:eastAsia="宋体" w:cs="宋体"/>
          <w:b/>
          <w:bCs/>
          <w:spacing w:val="-1"/>
          <w:sz w:val="28"/>
          <w:szCs w:val="28"/>
        </w:rPr>
        <w:t>砌体结构工程施工规范【强条已废】</w:t>
      </w:r>
    </w:p>
    <w:p w14:paraId="5EDD5927">
      <w:pPr>
        <w:spacing w:before="247" w:line="222" w:lineRule="auto"/>
        <w:ind w:left="3"/>
        <w:rPr>
          <w:rFonts w:ascii="黑体" w:hAnsi="黑体" w:eastAsia="黑体" w:cs="黑体"/>
          <w:sz w:val="25"/>
          <w:szCs w:val="25"/>
        </w:rPr>
      </w:pPr>
      <w:r>
        <w:rPr>
          <w:rFonts w:ascii="宋体" w:hAnsi="宋体" w:eastAsia="宋体" w:cs="宋体"/>
          <w:b/>
          <w:bCs/>
          <w:color w:val="FF0000"/>
          <w:spacing w:val="-6"/>
          <w:sz w:val="25"/>
          <w:szCs w:val="25"/>
        </w:rPr>
        <w:t>以下条目已被</w:t>
      </w:r>
      <w:r>
        <w:rPr>
          <w:rFonts w:ascii="宋体" w:hAnsi="宋体" w:eastAsia="宋体" w:cs="宋体"/>
          <w:color w:val="FF0000"/>
          <w:spacing w:val="-6"/>
          <w:sz w:val="25"/>
          <w:szCs w:val="25"/>
        </w:rPr>
        <w:t>《</w:t>
      </w:r>
      <w:r>
        <w:rPr>
          <w:rFonts w:ascii="Times New Roman" w:hAnsi="Times New Roman" w:eastAsia="Times New Roman" w:cs="Times New Roman"/>
          <w:color w:val="2060C0"/>
          <w:spacing w:val="-6"/>
          <w:sz w:val="25"/>
          <w:szCs w:val="25"/>
          <w:u w:val="single" w:color="auto"/>
        </w:rPr>
        <w:t>GB55007-2021</w:t>
      </w:r>
      <w:r>
        <w:rPr>
          <w:rFonts w:ascii="宋体" w:hAnsi="宋体" w:eastAsia="宋体" w:cs="宋体"/>
          <w:color w:val="2060C0"/>
          <w:spacing w:val="-6"/>
          <w:sz w:val="25"/>
          <w:szCs w:val="25"/>
          <w:u w:val="single" w:color="auto"/>
        </w:rPr>
        <w:t>砌体结构通用规范</w:t>
      </w:r>
      <w:r>
        <w:rPr>
          <w:rFonts w:ascii="宋体" w:hAnsi="宋体" w:eastAsia="宋体" w:cs="宋体"/>
          <w:b/>
          <w:bCs/>
          <w:color w:val="2060C0"/>
          <w:spacing w:val="-6"/>
          <w:sz w:val="25"/>
          <w:szCs w:val="25"/>
        </w:rPr>
        <w:t>》</w:t>
      </w:r>
      <w:r>
        <w:rPr>
          <w:rFonts w:ascii="黑体" w:hAnsi="黑体" w:eastAsia="黑体" w:cs="黑体"/>
          <w:color w:val="FF0000"/>
          <w:spacing w:val="-6"/>
          <w:sz w:val="25"/>
          <w:szCs w:val="25"/>
        </w:rPr>
        <w:t>替代</w:t>
      </w:r>
    </w:p>
    <w:p w14:paraId="5781DD6B">
      <w:pPr>
        <w:spacing w:before="152" w:line="287" w:lineRule="auto"/>
        <w:ind w:right="248"/>
        <w:rPr>
          <w:rFonts w:ascii="宋体" w:hAnsi="宋体" w:eastAsia="宋体" w:cs="宋体"/>
          <w:sz w:val="25"/>
          <w:szCs w:val="25"/>
        </w:rPr>
      </w:pPr>
      <w:r>
        <w:rPr>
          <w:rFonts w:ascii="宋体" w:hAnsi="宋体" w:eastAsia="宋体" w:cs="宋体"/>
          <w:spacing w:val="-2"/>
          <w:sz w:val="25"/>
          <w:szCs w:val="25"/>
          <w:u w:val="single" w:color="auto"/>
        </w:rPr>
        <w:t>4.2.2当在使用中对水泥质量受不利环境影响或水泥出厂</w:t>
      </w:r>
      <w:r>
        <w:rPr>
          <w:rFonts w:ascii="宋体" w:hAnsi="宋体" w:eastAsia="宋体" w:cs="宋体"/>
          <w:spacing w:val="-3"/>
          <w:sz w:val="25"/>
          <w:szCs w:val="25"/>
          <w:u w:val="single" w:color="auto"/>
        </w:rPr>
        <w:t>超过3个月、快硬硅酸盐水</w:t>
      </w:r>
      <w:r>
        <w:rPr>
          <w:rFonts w:ascii="宋体" w:hAnsi="宋体" w:eastAsia="宋体" w:cs="宋体"/>
          <w:sz w:val="25"/>
          <w:szCs w:val="25"/>
        </w:rPr>
        <w:t xml:space="preserve"> </w:t>
      </w:r>
      <w:r>
        <w:rPr>
          <w:rFonts w:ascii="宋体" w:hAnsi="宋体" w:eastAsia="宋体" w:cs="宋体"/>
          <w:spacing w:val="1"/>
          <w:sz w:val="25"/>
          <w:szCs w:val="25"/>
        </w:rPr>
        <w:t>泥超过1个月时，应进行复验，并应按复验</w:t>
      </w:r>
      <w:r>
        <w:rPr>
          <w:rFonts w:ascii="宋体" w:hAnsi="宋体" w:eastAsia="宋体" w:cs="宋体"/>
          <w:sz w:val="25"/>
          <w:szCs w:val="25"/>
        </w:rPr>
        <w:t>结果使用。</w:t>
      </w:r>
    </w:p>
    <w:p w14:paraId="53D177A6">
      <w:pPr>
        <w:spacing w:before="162" w:line="320" w:lineRule="auto"/>
        <w:ind w:right="247"/>
        <w:rPr>
          <w:rFonts w:ascii="宋体" w:hAnsi="宋体" w:eastAsia="宋体" w:cs="宋体"/>
          <w:sz w:val="24"/>
          <w:szCs w:val="24"/>
        </w:rPr>
      </w:pPr>
      <w:r>
        <w:rPr>
          <w:rFonts w:ascii="宋体" w:hAnsi="宋体" w:eastAsia="宋体" w:cs="宋体"/>
          <w:spacing w:val="7"/>
          <w:sz w:val="24"/>
          <w:szCs w:val="24"/>
          <w:u w:val="single" w:color="auto"/>
        </w:rPr>
        <w:t>6.2.4砖砌体的转角处和交接处应同时砌筑。在抗震设防烈度8度及以上地区，</w:t>
      </w:r>
      <w:r>
        <w:rPr>
          <w:rFonts w:ascii="宋体" w:hAnsi="宋体" w:eastAsia="宋体" w:cs="宋体"/>
          <w:spacing w:val="6"/>
          <w:sz w:val="24"/>
          <w:szCs w:val="24"/>
          <w:u w:val="single" w:color="auto"/>
        </w:rPr>
        <w:t>对不</w:t>
      </w:r>
      <w:r>
        <w:rPr>
          <w:rFonts w:ascii="宋体" w:hAnsi="宋体" w:eastAsia="宋体" w:cs="宋体"/>
          <w:sz w:val="24"/>
          <w:szCs w:val="24"/>
        </w:rPr>
        <w:t xml:space="preserve"> </w:t>
      </w:r>
      <w:r>
        <w:rPr>
          <w:rFonts w:ascii="宋体" w:hAnsi="宋体" w:eastAsia="宋体" w:cs="宋体"/>
          <w:spacing w:val="41"/>
          <w:sz w:val="20"/>
          <w:szCs w:val="20"/>
        </w:rPr>
        <w:t>能同时砌筑的临时间断处应砌成斜样，其中普通砖砌体的斜样</w:t>
      </w:r>
      <w:r>
        <w:rPr>
          <w:rFonts w:ascii="宋体" w:hAnsi="宋体" w:eastAsia="宋体" w:cs="宋体"/>
          <w:spacing w:val="40"/>
          <w:sz w:val="20"/>
          <w:szCs w:val="20"/>
        </w:rPr>
        <w:t>水平投影长度不应小手</w:t>
      </w:r>
      <w:r>
        <w:rPr>
          <w:rFonts w:ascii="宋体" w:hAnsi="宋体" w:eastAsia="宋体" w:cs="宋体"/>
          <w:sz w:val="20"/>
          <w:szCs w:val="20"/>
        </w:rPr>
        <w:t xml:space="preserve"> </w:t>
      </w:r>
      <w:r>
        <w:rPr>
          <w:rFonts w:ascii="宋体" w:hAnsi="宋体" w:eastAsia="宋体" w:cs="宋体"/>
          <w:spacing w:val="13"/>
          <w:sz w:val="24"/>
          <w:szCs w:val="24"/>
          <w:u w:val="single" w:color="auto"/>
        </w:rPr>
        <w:t>高度(h)的2/3(图6.2.4),多孔砖砌体的斜槎长高比不应小于1/2。斜槎高度</w:t>
      </w:r>
      <w:r>
        <w:rPr>
          <w:rFonts w:ascii="宋体" w:hAnsi="宋体" w:eastAsia="宋体" w:cs="宋体"/>
          <w:spacing w:val="13"/>
          <w:sz w:val="24"/>
          <w:szCs w:val="24"/>
        </w:rPr>
        <w:t>不得</w:t>
      </w:r>
    </w:p>
    <w:p w14:paraId="3A4F324B">
      <w:pPr>
        <w:pStyle w:val="2"/>
        <w:spacing w:line="253" w:lineRule="auto"/>
      </w:pPr>
    </w:p>
    <w:p w14:paraId="1B533376">
      <w:pPr>
        <w:pStyle w:val="2"/>
        <w:spacing w:line="254" w:lineRule="auto"/>
      </w:pPr>
      <w:r>
        <w:drawing>
          <wp:anchor distT="0" distB="0" distL="0" distR="0" simplePos="0" relativeHeight="251669504" behindDoc="0" locked="0" layoutInCell="1" allowOverlap="1">
            <wp:simplePos x="0" y="0"/>
            <wp:positionH relativeFrom="column">
              <wp:posOffset>1802765</wp:posOffset>
            </wp:positionH>
            <wp:positionV relativeFrom="paragraph">
              <wp:posOffset>106680</wp:posOffset>
            </wp:positionV>
            <wp:extent cx="1955800" cy="181610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83"/>
                    <a:stretch>
                      <a:fillRect/>
                    </a:stretch>
                  </pic:blipFill>
                  <pic:spPr>
                    <a:xfrm>
                      <a:off x="0" y="0"/>
                      <a:ext cx="1955828" cy="1816059"/>
                    </a:xfrm>
                    <a:prstGeom prst="rect">
                      <a:avLst/>
                    </a:prstGeom>
                  </pic:spPr>
                </pic:pic>
              </a:graphicData>
            </a:graphic>
          </wp:anchor>
        </w:drawing>
      </w:r>
    </w:p>
    <w:p w14:paraId="658CFDEB">
      <w:pPr>
        <w:pStyle w:val="2"/>
        <w:spacing w:line="254" w:lineRule="auto"/>
      </w:pPr>
    </w:p>
    <w:p w14:paraId="293D8AB5">
      <w:pPr>
        <w:pStyle w:val="2"/>
        <w:spacing w:line="254" w:lineRule="auto"/>
      </w:pPr>
    </w:p>
    <w:p w14:paraId="4102141E">
      <w:pPr>
        <w:pStyle w:val="2"/>
        <w:spacing w:line="254" w:lineRule="auto"/>
      </w:pPr>
    </w:p>
    <w:p w14:paraId="47076BBB">
      <w:pPr>
        <w:pStyle w:val="2"/>
        <w:spacing w:line="254" w:lineRule="auto"/>
      </w:pPr>
    </w:p>
    <w:p w14:paraId="277902EA">
      <w:pPr>
        <w:pStyle w:val="2"/>
        <w:spacing w:line="254" w:lineRule="auto"/>
      </w:pPr>
    </w:p>
    <w:p w14:paraId="2DCD4474">
      <w:pPr>
        <w:pStyle w:val="2"/>
        <w:spacing w:line="254" w:lineRule="auto"/>
      </w:pPr>
    </w:p>
    <w:p w14:paraId="20C1625B">
      <w:pPr>
        <w:spacing w:before="21" w:line="188" w:lineRule="auto"/>
        <w:ind w:left="2710"/>
        <w:rPr>
          <w:rFonts w:ascii="Times New Roman" w:hAnsi="Times New Roman" w:eastAsia="Times New Roman" w:cs="Times New Roman"/>
          <w:sz w:val="7"/>
          <w:szCs w:val="7"/>
        </w:rPr>
      </w:pPr>
      <w:r>
        <w:rPr>
          <w:rFonts w:ascii="Times New Roman" w:hAnsi="Times New Roman" w:eastAsia="Times New Roman" w:cs="Times New Roman"/>
          <w:sz w:val="7"/>
          <w:szCs w:val="7"/>
        </w:rPr>
        <w:t>4</w:t>
      </w:r>
    </w:p>
    <w:p w14:paraId="6FC7C7A2">
      <w:pPr>
        <w:pStyle w:val="2"/>
        <w:spacing w:line="260" w:lineRule="auto"/>
      </w:pPr>
    </w:p>
    <w:p w14:paraId="78063616">
      <w:pPr>
        <w:pStyle w:val="2"/>
        <w:spacing w:line="260" w:lineRule="auto"/>
      </w:pPr>
    </w:p>
    <w:p w14:paraId="2057809D">
      <w:pPr>
        <w:pStyle w:val="2"/>
        <w:spacing w:line="260" w:lineRule="auto"/>
      </w:pPr>
    </w:p>
    <w:p w14:paraId="7C72EA89">
      <w:pPr>
        <w:pStyle w:val="2"/>
        <w:spacing w:line="260" w:lineRule="auto"/>
      </w:pPr>
    </w:p>
    <w:p w14:paraId="29B9EE15">
      <w:pPr>
        <w:pStyle w:val="2"/>
        <w:spacing w:line="261" w:lineRule="auto"/>
      </w:pPr>
    </w:p>
    <w:p w14:paraId="175EF44C">
      <w:pPr>
        <w:spacing w:before="49" w:line="222" w:lineRule="auto"/>
        <w:ind w:left="2922"/>
        <w:rPr>
          <w:rFonts w:ascii="黑体" w:hAnsi="黑体" w:eastAsia="黑体" w:cs="黑体"/>
          <w:sz w:val="15"/>
          <w:szCs w:val="15"/>
        </w:rPr>
      </w:pPr>
      <w:r>
        <w:rPr>
          <w:rFonts w:ascii="黑体" w:hAnsi="黑体" w:eastAsia="黑体" w:cs="黑体"/>
          <w:b/>
          <w:bCs/>
          <w:spacing w:val="-9"/>
          <w:sz w:val="15"/>
          <w:szCs w:val="15"/>
        </w:rPr>
        <w:t>图</w:t>
      </w:r>
      <w:r>
        <w:rPr>
          <w:rFonts w:ascii="黑体" w:hAnsi="黑体" w:eastAsia="黑体" w:cs="黑体"/>
          <w:spacing w:val="-29"/>
          <w:sz w:val="15"/>
          <w:szCs w:val="15"/>
        </w:rPr>
        <w:t xml:space="preserve"> </w:t>
      </w:r>
      <w:r>
        <w:rPr>
          <w:rFonts w:ascii="黑体" w:hAnsi="黑体" w:eastAsia="黑体" w:cs="黑体"/>
          <w:b/>
          <w:bCs/>
          <w:spacing w:val="-9"/>
          <w:sz w:val="15"/>
          <w:szCs w:val="15"/>
        </w:rPr>
        <w:t>6</w:t>
      </w:r>
      <w:r>
        <w:rPr>
          <w:rFonts w:ascii="黑体" w:hAnsi="黑体" w:eastAsia="黑体" w:cs="黑体"/>
          <w:spacing w:val="-28"/>
          <w:sz w:val="15"/>
          <w:szCs w:val="15"/>
        </w:rPr>
        <w:t xml:space="preserve"> </w:t>
      </w:r>
      <w:r>
        <w:rPr>
          <w:rFonts w:ascii="黑体" w:hAnsi="黑体" w:eastAsia="黑体" w:cs="黑体"/>
          <w:b/>
          <w:bCs/>
          <w:spacing w:val="-9"/>
          <w:sz w:val="15"/>
          <w:szCs w:val="15"/>
        </w:rPr>
        <w:t>.</w:t>
      </w:r>
      <w:r>
        <w:rPr>
          <w:rFonts w:ascii="黑体" w:hAnsi="黑体" w:eastAsia="黑体" w:cs="黑体"/>
          <w:spacing w:val="-34"/>
          <w:sz w:val="15"/>
          <w:szCs w:val="15"/>
        </w:rPr>
        <w:t xml:space="preserve"> </w:t>
      </w:r>
      <w:r>
        <w:rPr>
          <w:rFonts w:ascii="黑体" w:hAnsi="黑体" w:eastAsia="黑体" w:cs="黑体"/>
          <w:b/>
          <w:bCs/>
          <w:spacing w:val="-9"/>
          <w:sz w:val="15"/>
          <w:szCs w:val="15"/>
        </w:rPr>
        <w:t>2</w:t>
      </w:r>
      <w:r>
        <w:rPr>
          <w:rFonts w:ascii="黑体" w:hAnsi="黑体" w:eastAsia="黑体" w:cs="黑体"/>
          <w:spacing w:val="-28"/>
          <w:sz w:val="15"/>
          <w:szCs w:val="15"/>
        </w:rPr>
        <w:t xml:space="preserve"> </w:t>
      </w:r>
      <w:r>
        <w:rPr>
          <w:rFonts w:ascii="黑体" w:hAnsi="黑体" w:eastAsia="黑体" w:cs="黑体"/>
          <w:b/>
          <w:bCs/>
          <w:spacing w:val="-9"/>
          <w:sz w:val="15"/>
          <w:szCs w:val="15"/>
        </w:rPr>
        <w:t>.</w:t>
      </w:r>
      <w:r>
        <w:rPr>
          <w:rFonts w:ascii="黑体" w:hAnsi="黑体" w:eastAsia="黑体" w:cs="黑体"/>
          <w:spacing w:val="-37"/>
          <w:sz w:val="15"/>
          <w:szCs w:val="15"/>
        </w:rPr>
        <w:t xml:space="preserve"> </w:t>
      </w:r>
      <w:r>
        <w:rPr>
          <w:rFonts w:ascii="黑体" w:hAnsi="黑体" w:eastAsia="黑体" w:cs="黑体"/>
          <w:b/>
          <w:bCs/>
          <w:spacing w:val="-9"/>
          <w:sz w:val="15"/>
          <w:szCs w:val="15"/>
        </w:rPr>
        <w:t>4</w:t>
      </w:r>
      <w:r>
        <w:rPr>
          <w:rFonts w:ascii="黑体" w:hAnsi="黑体" w:eastAsia="黑体" w:cs="黑体"/>
          <w:spacing w:val="10"/>
          <w:sz w:val="15"/>
          <w:szCs w:val="15"/>
        </w:rPr>
        <w:t xml:space="preserve">  </w:t>
      </w:r>
      <w:r>
        <w:rPr>
          <w:rFonts w:ascii="黑体" w:hAnsi="黑体" w:eastAsia="黑体" w:cs="黑体"/>
          <w:b/>
          <w:bCs/>
          <w:spacing w:val="-9"/>
          <w:sz w:val="15"/>
          <w:szCs w:val="15"/>
        </w:rPr>
        <w:t>砖</w:t>
      </w:r>
      <w:r>
        <w:rPr>
          <w:rFonts w:ascii="黑体" w:hAnsi="黑体" w:eastAsia="黑体" w:cs="黑体"/>
          <w:spacing w:val="-22"/>
          <w:sz w:val="15"/>
          <w:szCs w:val="15"/>
        </w:rPr>
        <w:t xml:space="preserve"> </w:t>
      </w:r>
      <w:r>
        <w:rPr>
          <w:rFonts w:ascii="黑体" w:hAnsi="黑体" w:eastAsia="黑体" w:cs="黑体"/>
          <w:b/>
          <w:bCs/>
          <w:spacing w:val="-9"/>
          <w:sz w:val="15"/>
          <w:szCs w:val="15"/>
        </w:rPr>
        <w:t>砌</w:t>
      </w:r>
      <w:r>
        <w:rPr>
          <w:rFonts w:ascii="黑体" w:hAnsi="黑体" w:eastAsia="黑体" w:cs="黑体"/>
          <w:spacing w:val="-22"/>
          <w:sz w:val="15"/>
          <w:szCs w:val="15"/>
        </w:rPr>
        <w:t xml:space="preserve"> </w:t>
      </w:r>
      <w:r>
        <w:rPr>
          <w:rFonts w:ascii="黑体" w:hAnsi="黑体" w:eastAsia="黑体" w:cs="黑体"/>
          <w:b/>
          <w:bCs/>
          <w:spacing w:val="-9"/>
          <w:sz w:val="15"/>
          <w:szCs w:val="15"/>
        </w:rPr>
        <w:t>体</w:t>
      </w:r>
      <w:r>
        <w:rPr>
          <w:rFonts w:ascii="黑体" w:hAnsi="黑体" w:eastAsia="黑体" w:cs="黑体"/>
          <w:spacing w:val="-23"/>
          <w:sz w:val="15"/>
          <w:szCs w:val="15"/>
        </w:rPr>
        <w:t xml:space="preserve"> </w:t>
      </w:r>
      <w:r>
        <w:rPr>
          <w:rFonts w:ascii="黑体" w:hAnsi="黑体" w:eastAsia="黑体" w:cs="黑体"/>
          <w:b/>
          <w:bCs/>
          <w:spacing w:val="-9"/>
          <w:sz w:val="15"/>
          <w:szCs w:val="15"/>
        </w:rPr>
        <w:t>斜</w:t>
      </w:r>
      <w:r>
        <w:rPr>
          <w:rFonts w:ascii="黑体" w:hAnsi="黑体" w:eastAsia="黑体" w:cs="黑体"/>
          <w:spacing w:val="-23"/>
          <w:sz w:val="15"/>
          <w:szCs w:val="15"/>
        </w:rPr>
        <w:t xml:space="preserve"> </w:t>
      </w:r>
      <w:r>
        <w:rPr>
          <w:rFonts w:ascii="黑体" w:hAnsi="黑体" w:eastAsia="黑体" w:cs="黑体"/>
          <w:b/>
          <w:bCs/>
          <w:spacing w:val="-9"/>
          <w:sz w:val="15"/>
          <w:szCs w:val="15"/>
        </w:rPr>
        <w:t>递</w:t>
      </w:r>
      <w:r>
        <w:rPr>
          <w:rFonts w:ascii="黑体" w:hAnsi="黑体" w:eastAsia="黑体" w:cs="黑体"/>
          <w:spacing w:val="-23"/>
          <w:sz w:val="15"/>
          <w:szCs w:val="15"/>
        </w:rPr>
        <w:t xml:space="preserve"> </w:t>
      </w:r>
      <w:r>
        <w:rPr>
          <w:rFonts w:ascii="黑体" w:hAnsi="黑体" w:eastAsia="黑体" w:cs="黑体"/>
          <w:b/>
          <w:bCs/>
          <w:spacing w:val="-9"/>
          <w:sz w:val="15"/>
          <w:szCs w:val="15"/>
        </w:rPr>
        <w:t>砌</w:t>
      </w:r>
      <w:r>
        <w:rPr>
          <w:rFonts w:ascii="黑体" w:hAnsi="黑体" w:eastAsia="黑体" w:cs="黑体"/>
          <w:spacing w:val="-21"/>
          <w:sz w:val="15"/>
          <w:szCs w:val="15"/>
        </w:rPr>
        <w:t xml:space="preserve"> </w:t>
      </w:r>
      <w:r>
        <w:rPr>
          <w:rFonts w:ascii="黑体" w:hAnsi="黑体" w:eastAsia="黑体" w:cs="黑体"/>
          <w:b/>
          <w:bCs/>
          <w:spacing w:val="-9"/>
          <w:sz w:val="15"/>
          <w:szCs w:val="15"/>
        </w:rPr>
        <w:t>筑</w:t>
      </w:r>
      <w:r>
        <w:rPr>
          <w:rFonts w:ascii="黑体" w:hAnsi="黑体" w:eastAsia="黑体" w:cs="黑体"/>
          <w:spacing w:val="-9"/>
          <w:sz w:val="15"/>
          <w:szCs w:val="15"/>
        </w:rPr>
        <w:t xml:space="preserve"> </w:t>
      </w:r>
      <w:r>
        <w:rPr>
          <w:rFonts w:ascii="黑体" w:hAnsi="黑体" w:eastAsia="黑体" w:cs="黑体"/>
          <w:b/>
          <w:bCs/>
          <w:spacing w:val="-9"/>
          <w:sz w:val="15"/>
          <w:szCs w:val="15"/>
        </w:rPr>
        <w:t>示</w:t>
      </w:r>
      <w:r>
        <w:rPr>
          <w:rFonts w:ascii="黑体" w:hAnsi="黑体" w:eastAsia="黑体" w:cs="黑体"/>
          <w:spacing w:val="-21"/>
          <w:sz w:val="15"/>
          <w:szCs w:val="15"/>
        </w:rPr>
        <w:t xml:space="preserve"> </w:t>
      </w:r>
      <w:r>
        <w:rPr>
          <w:rFonts w:ascii="黑体" w:hAnsi="黑体" w:eastAsia="黑体" w:cs="黑体"/>
          <w:b/>
          <w:bCs/>
          <w:spacing w:val="-9"/>
          <w:sz w:val="15"/>
          <w:szCs w:val="15"/>
        </w:rPr>
        <w:t>意</w:t>
      </w:r>
      <w:r>
        <w:rPr>
          <w:rFonts w:ascii="黑体" w:hAnsi="黑体" w:eastAsia="黑体" w:cs="黑体"/>
          <w:spacing w:val="-13"/>
          <w:sz w:val="15"/>
          <w:szCs w:val="15"/>
        </w:rPr>
        <w:t xml:space="preserve"> </w:t>
      </w:r>
      <w:r>
        <w:rPr>
          <w:rFonts w:ascii="黑体" w:hAnsi="黑体" w:eastAsia="黑体" w:cs="黑体"/>
          <w:b/>
          <w:bCs/>
          <w:spacing w:val="-9"/>
          <w:sz w:val="15"/>
          <w:szCs w:val="15"/>
        </w:rPr>
        <w:t>图</w:t>
      </w:r>
    </w:p>
    <w:p w14:paraId="7767105D">
      <w:pPr>
        <w:spacing w:line="222" w:lineRule="auto"/>
        <w:rPr>
          <w:rFonts w:ascii="黑体" w:hAnsi="黑体" w:eastAsia="黑体" w:cs="黑体"/>
          <w:sz w:val="15"/>
          <w:szCs w:val="15"/>
        </w:rPr>
        <w:sectPr>
          <w:footerReference r:id="rId27" w:type="default"/>
          <w:pgSz w:w="11910" w:h="16840"/>
          <w:pgMar w:top="400" w:right="1379" w:bottom="769" w:left="1370" w:header="0" w:footer="574" w:gutter="0"/>
          <w:cols w:space="720" w:num="1"/>
        </w:sectPr>
      </w:pPr>
    </w:p>
    <w:p w14:paraId="758C7E81">
      <w:pPr>
        <w:pStyle w:val="2"/>
        <w:spacing w:line="292" w:lineRule="auto"/>
      </w:pPr>
    </w:p>
    <w:p w14:paraId="004012FD">
      <w:pPr>
        <w:pStyle w:val="2"/>
        <w:spacing w:line="292" w:lineRule="auto"/>
      </w:pPr>
    </w:p>
    <w:p w14:paraId="2F229729">
      <w:pPr>
        <w:pStyle w:val="2"/>
        <w:spacing w:line="293" w:lineRule="auto"/>
      </w:pPr>
    </w:p>
    <w:p w14:paraId="1A50ADC7">
      <w:pPr>
        <w:spacing w:before="78" w:line="219" w:lineRule="auto"/>
        <w:rPr>
          <w:rFonts w:ascii="宋体" w:hAnsi="宋体" w:eastAsia="宋体" w:cs="宋体"/>
          <w:sz w:val="24"/>
          <w:szCs w:val="24"/>
        </w:rPr>
      </w:pPr>
      <w:r>
        <w:rPr>
          <w:rFonts w:ascii="宋体" w:hAnsi="宋体" w:eastAsia="宋体" w:cs="宋体"/>
          <w:strike/>
          <w:spacing w:val="-1"/>
          <w:sz w:val="24"/>
          <w:szCs w:val="24"/>
        </w:rPr>
        <w:t>超过</w:t>
      </w:r>
      <w:r>
        <w:rPr>
          <w:rFonts w:ascii="宋体" w:hAnsi="宋体" w:eastAsia="宋体" w:cs="宋体"/>
          <w:spacing w:val="-1"/>
          <w:sz w:val="24"/>
          <w:szCs w:val="24"/>
        </w:rPr>
        <w:t>一</w:t>
      </w:r>
      <w:r>
        <w:rPr>
          <w:rFonts w:ascii="宋体" w:hAnsi="宋体" w:eastAsia="宋体" w:cs="宋体"/>
          <w:strike/>
          <w:spacing w:val="-1"/>
          <w:sz w:val="24"/>
          <w:szCs w:val="24"/>
        </w:rPr>
        <w:t>步脚手架高度。</w:t>
      </w:r>
    </w:p>
    <w:p w14:paraId="56D54B09">
      <w:pPr>
        <w:spacing w:before="183" w:line="360" w:lineRule="auto"/>
        <w:ind w:left="1" w:firstLine="4"/>
        <w:rPr>
          <w:rFonts w:ascii="宋体" w:hAnsi="宋体" w:eastAsia="宋体" w:cs="宋体"/>
          <w:sz w:val="24"/>
          <w:szCs w:val="24"/>
        </w:rPr>
      </w:pPr>
      <w:r>
        <w:rPr>
          <w:rFonts w:ascii="Times New Roman" w:hAnsi="Times New Roman" w:eastAsia="Times New Roman" w:cs="Times New Roman"/>
          <w:strike/>
          <w:sz w:val="24"/>
          <w:szCs w:val="24"/>
        </w:rPr>
        <w:t xml:space="preserve">8.3.5    </w:t>
      </w:r>
      <w:r>
        <w:rPr>
          <w:rFonts w:ascii="宋体" w:hAnsi="宋体" w:eastAsia="宋体" w:cs="宋体"/>
          <w:strike/>
          <w:sz w:val="24"/>
          <w:szCs w:val="24"/>
        </w:rPr>
        <w:t>挡土墙必须按设计规定留设泄水孔；当设</w:t>
      </w:r>
      <w:r>
        <w:rPr>
          <w:rFonts w:ascii="宋体" w:hAnsi="宋体" w:eastAsia="宋体" w:cs="宋体"/>
          <w:strike/>
          <w:spacing w:val="-1"/>
          <w:sz w:val="24"/>
          <w:szCs w:val="24"/>
        </w:rPr>
        <w:t>计无具体规定时，其施工应符合下列</w:t>
      </w:r>
      <w:r>
        <w:rPr>
          <w:rFonts w:ascii="宋体" w:hAnsi="宋体" w:eastAsia="宋体" w:cs="宋体"/>
          <w:sz w:val="24"/>
          <w:szCs w:val="24"/>
        </w:rPr>
        <w:t xml:space="preserve"> </w:t>
      </w:r>
      <w:r>
        <w:rPr>
          <w:rFonts w:ascii="宋体" w:hAnsi="宋体" w:eastAsia="宋体" w:cs="宋体"/>
          <w:strike/>
          <w:spacing w:val="-3"/>
          <w:sz w:val="24"/>
          <w:szCs w:val="24"/>
        </w:rPr>
        <w:t>规定：</w:t>
      </w:r>
    </w:p>
    <w:p w14:paraId="404714ED">
      <w:pPr>
        <w:spacing w:before="1" w:line="289" w:lineRule="auto"/>
        <w:ind w:left="20" w:firstLine="47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泄水孔应在挡土墙的竖向和水平方向均匀设置，在挡土墙每米高度范围内设置</w:t>
      </w:r>
      <w:r>
        <w:rPr>
          <w:rFonts w:ascii="宋体" w:hAnsi="宋体" w:eastAsia="宋体" w:cs="宋体"/>
          <w:spacing w:val="7"/>
          <w:sz w:val="24"/>
          <w:szCs w:val="24"/>
        </w:rPr>
        <w:t xml:space="preserve"> </w:t>
      </w:r>
      <w:r>
        <w:rPr>
          <w:rFonts w:ascii="宋体" w:hAnsi="宋体" w:eastAsia="宋体" w:cs="宋体"/>
          <w:strike/>
          <w:spacing w:val="-3"/>
          <w:sz w:val="24"/>
          <w:szCs w:val="24"/>
        </w:rPr>
        <w:t>的泄水孔水平间距不应大于</w:t>
      </w:r>
      <w:r>
        <w:rPr>
          <w:rFonts w:ascii="宋体" w:hAnsi="宋体" w:eastAsia="宋体" w:cs="宋体"/>
          <w:strike/>
          <w:spacing w:val="-45"/>
          <w:sz w:val="24"/>
          <w:szCs w:val="24"/>
        </w:rPr>
        <w:t xml:space="preserve"> </w:t>
      </w:r>
      <w:r>
        <w:rPr>
          <w:rFonts w:ascii="Times New Roman" w:hAnsi="Times New Roman" w:eastAsia="Times New Roman" w:cs="Times New Roman"/>
          <w:strike/>
          <w:spacing w:val="-3"/>
          <w:sz w:val="24"/>
          <w:szCs w:val="24"/>
        </w:rPr>
        <w:t>2m</w:t>
      </w:r>
      <w:r>
        <w:rPr>
          <w:rFonts w:ascii="Times New Roman" w:hAnsi="Times New Roman" w:eastAsia="Times New Roman" w:cs="Times New Roman"/>
          <w:strike/>
          <w:spacing w:val="-30"/>
          <w:sz w:val="24"/>
          <w:szCs w:val="24"/>
        </w:rPr>
        <w:t xml:space="preserve"> </w:t>
      </w:r>
      <w:r>
        <w:rPr>
          <w:rFonts w:ascii="宋体" w:hAnsi="宋体" w:eastAsia="宋体" w:cs="宋体"/>
          <w:strike/>
          <w:spacing w:val="-3"/>
          <w:sz w:val="24"/>
          <w:szCs w:val="24"/>
        </w:rPr>
        <w:t>；</w:t>
      </w:r>
    </w:p>
    <w:p w14:paraId="49786BF8">
      <w:pPr>
        <w:spacing w:before="181" w:line="220" w:lineRule="auto"/>
        <w:ind w:left="476"/>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泄水孔直径不应小于</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50mm</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w:t>
      </w:r>
    </w:p>
    <w:p w14:paraId="3F4782E6">
      <w:pPr>
        <w:spacing w:before="182" w:line="290" w:lineRule="auto"/>
        <w:ind w:left="3" w:right="33" w:firstLine="477"/>
        <w:rPr>
          <w:rFonts w:ascii="宋体" w:hAnsi="宋体" w:eastAsia="宋体" w:cs="宋体"/>
          <w:sz w:val="24"/>
          <w:szCs w:val="24"/>
        </w:rPr>
      </w:pP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泄水孔与土体间应设置长宽不小于</w:t>
      </w:r>
      <w:r>
        <w:rPr>
          <w:rFonts w:ascii="宋体" w:hAnsi="宋体" w:eastAsia="宋体" w:cs="宋体"/>
          <w:strike/>
          <w:spacing w:val="-39"/>
          <w:sz w:val="24"/>
          <w:szCs w:val="24"/>
        </w:rPr>
        <w:t xml:space="preserve"> </w:t>
      </w:r>
      <w:r>
        <w:rPr>
          <w:rFonts w:ascii="Times New Roman" w:hAnsi="Times New Roman" w:eastAsia="Times New Roman" w:cs="Times New Roman"/>
          <w:strike/>
          <w:spacing w:val="-2"/>
          <w:sz w:val="24"/>
          <w:szCs w:val="24"/>
        </w:rPr>
        <w:t>300mm</w:t>
      </w:r>
      <w:r>
        <w:rPr>
          <w:rFonts w:ascii="宋体" w:hAnsi="宋体" w:eastAsia="宋体" w:cs="宋体"/>
          <w:strike/>
          <w:spacing w:val="-2"/>
          <w:sz w:val="24"/>
          <w:szCs w:val="24"/>
        </w:rPr>
        <w:t>、厚不小于</w:t>
      </w:r>
      <w:r>
        <w:rPr>
          <w:rFonts w:ascii="宋体" w:hAnsi="宋体" w:eastAsia="宋体" w:cs="宋体"/>
          <w:strike/>
          <w:spacing w:val="-41"/>
          <w:sz w:val="24"/>
          <w:szCs w:val="24"/>
        </w:rPr>
        <w:t xml:space="preserve"> </w:t>
      </w:r>
      <w:r>
        <w:rPr>
          <w:rFonts w:ascii="Times New Roman" w:hAnsi="Times New Roman" w:eastAsia="Times New Roman" w:cs="Times New Roman"/>
          <w:strike/>
          <w:spacing w:val="-2"/>
          <w:sz w:val="24"/>
          <w:szCs w:val="24"/>
        </w:rPr>
        <w:t>200mm</w:t>
      </w:r>
      <w:r>
        <w:rPr>
          <w:rFonts w:ascii="Times New Roman" w:hAnsi="Times New Roman" w:eastAsia="Times New Roman" w:cs="Times New Roman"/>
          <w:strike/>
          <w:spacing w:val="28"/>
          <w:w w:val="101"/>
          <w:sz w:val="24"/>
          <w:szCs w:val="24"/>
        </w:rPr>
        <w:t xml:space="preserve"> </w:t>
      </w:r>
      <w:r>
        <w:rPr>
          <w:rFonts w:ascii="宋体" w:hAnsi="宋体" w:eastAsia="宋体" w:cs="宋体"/>
          <w:strike/>
          <w:spacing w:val="-2"/>
          <w:sz w:val="24"/>
          <w:szCs w:val="24"/>
        </w:rPr>
        <w:t>的卵石或碎石疏</w:t>
      </w:r>
      <w:r>
        <w:rPr>
          <w:rFonts w:ascii="宋体" w:hAnsi="宋体" w:eastAsia="宋体" w:cs="宋体"/>
          <w:sz w:val="24"/>
          <w:szCs w:val="24"/>
        </w:rPr>
        <w:t xml:space="preserve"> </w:t>
      </w:r>
      <w:r>
        <w:rPr>
          <w:rFonts w:ascii="宋体" w:hAnsi="宋体" w:eastAsia="宋体" w:cs="宋体"/>
          <w:strike/>
          <w:spacing w:val="-3"/>
          <w:sz w:val="24"/>
          <w:szCs w:val="24"/>
        </w:rPr>
        <w:t>水层。</w:t>
      </w:r>
    </w:p>
    <w:p w14:paraId="1757BC36">
      <w:pPr>
        <w:spacing w:before="262" w:line="226" w:lineRule="auto"/>
        <w:ind w:left="10"/>
        <w:outlineLvl w:val="1"/>
        <w:rPr>
          <w:rFonts w:ascii="宋体" w:hAnsi="宋体" w:eastAsia="宋体" w:cs="宋体"/>
          <w:sz w:val="27"/>
          <w:szCs w:val="27"/>
        </w:rPr>
      </w:pPr>
      <w:bookmarkStart w:id="32" w:name="bookmark80"/>
      <w:bookmarkEnd w:id="32"/>
      <w:r>
        <w:rPr>
          <w:rFonts w:ascii="Times New Roman" w:hAnsi="Times New Roman" w:eastAsia="Times New Roman" w:cs="Times New Roman"/>
          <w:b/>
          <w:bCs/>
          <w:spacing w:val="6"/>
          <w:sz w:val="27"/>
          <w:szCs w:val="27"/>
        </w:rPr>
        <w:t>16.</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8-2016  </w:t>
      </w:r>
      <w:r>
        <w:rPr>
          <w:rFonts w:ascii="宋体" w:hAnsi="宋体" w:eastAsia="宋体" w:cs="宋体"/>
          <w:b/>
          <w:bCs/>
          <w:spacing w:val="6"/>
          <w:sz w:val="27"/>
          <w:szCs w:val="27"/>
        </w:rPr>
        <w:t>建筑变形测量规范【强条已废】</w:t>
      </w:r>
    </w:p>
    <w:p w14:paraId="6FE5731F">
      <w:pPr>
        <w:spacing w:before="286" w:line="220" w:lineRule="auto"/>
        <w:ind w:left="28"/>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GB55018-2021 </w:t>
      </w:r>
      <w:r>
        <w:rPr>
          <w:rFonts w:ascii="宋体" w:hAnsi="宋体" w:eastAsia="宋体" w:cs="宋体"/>
          <w:b/>
          <w:bCs/>
          <w:color w:val="0563C1"/>
          <w:spacing w:val="-2"/>
          <w:sz w:val="24"/>
          <w:szCs w:val="24"/>
          <w:u w:val="single" w:color="auto"/>
        </w:rPr>
        <w:t>工程测量通用规范</w:t>
      </w:r>
      <w:r>
        <w:rPr>
          <w:rFonts w:ascii="宋体" w:hAnsi="宋体" w:eastAsia="宋体" w:cs="宋体"/>
          <w:b/>
          <w:bCs/>
          <w:color w:val="EE0000"/>
          <w:spacing w:val="-2"/>
          <w:sz w:val="24"/>
          <w:szCs w:val="24"/>
        </w:rPr>
        <w:t>》替代</w:t>
      </w:r>
    </w:p>
    <w:p w14:paraId="1DCC64F6">
      <w:pPr>
        <w:spacing w:before="154"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3.1.1    </w:t>
      </w:r>
      <w:r>
        <w:rPr>
          <w:rFonts w:ascii="宋体" w:hAnsi="宋体" w:eastAsia="宋体" w:cs="宋体"/>
          <w:strike/>
          <w:sz w:val="24"/>
          <w:szCs w:val="24"/>
        </w:rPr>
        <w:t>下列建筑在施工期间和使</w:t>
      </w:r>
      <w:r>
        <w:rPr>
          <w:rFonts w:ascii="宋体" w:hAnsi="宋体" w:eastAsia="宋体" w:cs="宋体"/>
          <w:strike/>
          <w:spacing w:val="-1"/>
          <w:sz w:val="24"/>
          <w:szCs w:val="24"/>
        </w:rPr>
        <w:t>用期间应进行变形测量：</w:t>
      </w:r>
    </w:p>
    <w:p w14:paraId="28A889C3">
      <w:pPr>
        <w:spacing w:before="153" w:line="220" w:lineRule="auto"/>
        <w:ind w:left="499"/>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地基基础设计等级为甲级的建筑。</w:t>
      </w:r>
    </w:p>
    <w:p w14:paraId="375C1F90">
      <w:pPr>
        <w:spacing w:before="155" w:line="220" w:lineRule="auto"/>
        <w:ind w:left="476"/>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软弱地基上的地基基础设计等级为</w:t>
      </w:r>
      <w:r>
        <w:rPr>
          <w:rFonts w:ascii="宋体" w:hAnsi="宋体" w:eastAsia="宋体" w:cs="宋体"/>
          <w:strike/>
          <w:spacing w:val="-1"/>
          <w:sz w:val="24"/>
          <w:szCs w:val="24"/>
        </w:rPr>
        <w:t>乙级的建筑。</w:t>
      </w:r>
    </w:p>
    <w:p w14:paraId="01CD3A6F">
      <w:pPr>
        <w:spacing w:before="154"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加层、护建建筑或处理地基上的建筑。</w:t>
      </w:r>
    </w:p>
    <w:p w14:paraId="62F30460">
      <w:pPr>
        <w:spacing w:before="153" w:line="220" w:lineRule="auto"/>
        <w:ind w:left="475"/>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受邻近施工影响或受场地地下水等环境因素变化影</w:t>
      </w:r>
      <w:r>
        <w:rPr>
          <w:rFonts w:ascii="宋体" w:hAnsi="宋体" w:eastAsia="宋体" w:cs="宋体"/>
          <w:strike/>
          <w:spacing w:val="-1"/>
          <w:sz w:val="24"/>
          <w:szCs w:val="24"/>
        </w:rPr>
        <w:t>响的建筑。</w:t>
      </w:r>
    </w:p>
    <w:p w14:paraId="227F6057">
      <w:pPr>
        <w:spacing w:before="155" w:line="219" w:lineRule="auto"/>
        <w:ind w:left="483"/>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采用新型基础或新型结构的建筑。</w:t>
      </w:r>
    </w:p>
    <w:p w14:paraId="6E96A386">
      <w:pPr>
        <w:spacing w:before="156"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6    </w:t>
      </w:r>
      <w:r>
        <w:rPr>
          <w:rFonts w:ascii="宋体" w:hAnsi="宋体" w:eastAsia="宋体" w:cs="宋体"/>
          <w:strike/>
          <w:spacing w:val="-1"/>
          <w:sz w:val="24"/>
          <w:szCs w:val="24"/>
        </w:rPr>
        <w:t>大型城市基础设施。</w:t>
      </w:r>
    </w:p>
    <w:p w14:paraId="1B5D6091">
      <w:pPr>
        <w:spacing w:before="153" w:line="220" w:lineRule="auto"/>
        <w:ind w:left="480"/>
        <w:rPr>
          <w:rFonts w:ascii="宋体" w:hAnsi="宋体" w:eastAsia="宋体" w:cs="宋体"/>
          <w:sz w:val="24"/>
          <w:szCs w:val="24"/>
        </w:rPr>
      </w:pPr>
      <w:r>
        <w:rPr>
          <w:rFonts w:ascii="Times New Roman" w:hAnsi="Times New Roman" w:eastAsia="Times New Roman" w:cs="Times New Roman"/>
          <w:strike/>
          <w:spacing w:val="-1"/>
          <w:sz w:val="24"/>
          <w:szCs w:val="24"/>
        </w:rPr>
        <w:t xml:space="preserve">7    </w:t>
      </w:r>
      <w:r>
        <w:rPr>
          <w:rFonts w:ascii="宋体" w:hAnsi="宋体" w:eastAsia="宋体" w:cs="宋体"/>
          <w:strike/>
          <w:spacing w:val="-1"/>
          <w:sz w:val="24"/>
          <w:szCs w:val="24"/>
        </w:rPr>
        <w:t>体型狭长且地基土变化明显的建筑。</w:t>
      </w:r>
    </w:p>
    <w:p w14:paraId="541921B3">
      <w:pPr>
        <w:spacing w:before="156" w:line="338" w:lineRule="auto"/>
        <w:rPr>
          <w:rFonts w:ascii="宋体" w:hAnsi="宋体" w:eastAsia="宋体" w:cs="宋体"/>
          <w:sz w:val="24"/>
          <w:szCs w:val="24"/>
        </w:rPr>
      </w:pPr>
      <w:r>
        <w:rPr>
          <w:rFonts w:ascii="Times New Roman" w:hAnsi="Times New Roman" w:eastAsia="Times New Roman" w:cs="Times New Roman"/>
          <w:strike/>
          <w:sz w:val="24"/>
          <w:szCs w:val="24"/>
        </w:rPr>
        <w:t xml:space="preserve">3.1.6    </w:t>
      </w:r>
      <w:r>
        <w:rPr>
          <w:rFonts w:ascii="宋体" w:hAnsi="宋体" w:eastAsia="宋体" w:cs="宋体"/>
          <w:strike/>
          <w:sz w:val="24"/>
          <w:szCs w:val="24"/>
        </w:rPr>
        <w:t>建筑变形测量过程中发生下列情况之</w:t>
      </w:r>
      <w:r>
        <w:rPr>
          <w:rFonts w:ascii="宋体" w:hAnsi="宋体" w:eastAsia="宋体" w:cs="宋体"/>
          <w:sz w:val="24"/>
          <w:szCs w:val="24"/>
        </w:rPr>
        <w:t>一</w:t>
      </w:r>
      <w:r>
        <w:rPr>
          <w:rFonts w:ascii="宋体" w:hAnsi="宋体" w:eastAsia="宋体" w:cs="宋体"/>
          <w:strike/>
          <w:sz w:val="24"/>
          <w:szCs w:val="24"/>
        </w:rPr>
        <w:t>时，应立即实</w:t>
      </w:r>
      <w:r>
        <w:rPr>
          <w:rFonts w:ascii="宋体" w:hAnsi="宋体" w:eastAsia="宋体" w:cs="宋体"/>
          <w:strike/>
          <w:spacing w:val="-1"/>
          <w:sz w:val="24"/>
          <w:szCs w:val="24"/>
        </w:rPr>
        <w:t>施安全预案，同时应提高</w:t>
      </w:r>
      <w:r>
        <w:rPr>
          <w:rFonts w:ascii="宋体" w:hAnsi="宋体" w:eastAsia="宋体" w:cs="宋体"/>
          <w:sz w:val="24"/>
          <w:szCs w:val="24"/>
        </w:rPr>
        <w:t xml:space="preserve"> </w:t>
      </w:r>
      <w:r>
        <w:rPr>
          <w:rFonts w:ascii="宋体" w:hAnsi="宋体" w:eastAsia="宋体" w:cs="宋体"/>
          <w:strike/>
          <w:spacing w:val="-1"/>
          <w:sz w:val="24"/>
          <w:szCs w:val="24"/>
        </w:rPr>
        <w:t>观测频率或增加观测内容：</w:t>
      </w:r>
    </w:p>
    <w:p w14:paraId="7E04C7EC">
      <w:pPr>
        <w:spacing w:line="219" w:lineRule="auto"/>
        <w:ind w:left="499"/>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变形量或变形速率出现异常变化。</w:t>
      </w:r>
    </w:p>
    <w:p w14:paraId="5B5029D8">
      <w:pPr>
        <w:spacing w:before="155" w:line="220" w:lineRule="auto"/>
        <w:ind w:left="476"/>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变形量或变形速率达到或超出变形预警值。</w:t>
      </w:r>
    </w:p>
    <w:p w14:paraId="76BC112A">
      <w:pPr>
        <w:spacing w:before="155"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开挖面或周边出现塌陷、滑坡。</w:t>
      </w:r>
    </w:p>
    <w:p w14:paraId="41AEF4DE">
      <w:pPr>
        <w:spacing w:before="153" w:line="219" w:lineRule="auto"/>
        <w:ind w:left="475"/>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建筑本身或其周边环境出现异常。</w:t>
      </w:r>
    </w:p>
    <w:p w14:paraId="7015A81C">
      <w:pPr>
        <w:spacing w:before="155" w:line="219" w:lineRule="auto"/>
        <w:ind w:left="483"/>
        <w:rPr>
          <w:rFonts w:ascii="宋体" w:hAnsi="宋体" w:eastAsia="宋体" w:cs="宋体"/>
          <w:sz w:val="24"/>
          <w:szCs w:val="24"/>
        </w:rPr>
      </w:pPr>
      <w:r>
        <w:rPr>
          <w:rFonts w:ascii="Times New Roman" w:hAnsi="Times New Roman" w:eastAsia="Times New Roman" w:cs="Times New Roman"/>
          <w:strike/>
          <w:sz w:val="24"/>
          <w:szCs w:val="24"/>
        </w:rPr>
        <w:t xml:space="preserve">5    </w:t>
      </w:r>
      <w:r>
        <w:rPr>
          <w:rFonts w:ascii="宋体" w:hAnsi="宋体" w:eastAsia="宋体" w:cs="宋体"/>
          <w:strike/>
          <w:sz w:val="24"/>
          <w:szCs w:val="24"/>
        </w:rPr>
        <w:t>由于地震、暴雨、冻融等自然灾害</w:t>
      </w:r>
      <w:r>
        <w:rPr>
          <w:rFonts w:ascii="宋体" w:hAnsi="宋体" w:eastAsia="宋体" w:cs="宋体"/>
          <w:strike/>
          <w:spacing w:val="-1"/>
          <w:sz w:val="24"/>
          <w:szCs w:val="24"/>
        </w:rPr>
        <w:t>引起的其他变形异常情况。</w:t>
      </w:r>
    </w:p>
    <w:p w14:paraId="5FAF1A1E">
      <w:pPr>
        <w:spacing w:before="203" w:line="226" w:lineRule="auto"/>
        <w:ind w:left="10"/>
        <w:outlineLvl w:val="1"/>
        <w:rPr>
          <w:rFonts w:ascii="宋体" w:hAnsi="宋体" w:eastAsia="宋体" w:cs="宋体"/>
          <w:sz w:val="27"/>
          <w:szCs w:val="27"/>
        </w:rPr>
      </w:pPr>
      <w:bookmarkStart w:id="33" w:name="bookmark81"/>
      <w:bookmarkEnd w:id="33"/>
      <w:r>
        <w:rPr>
          <w:rFonts w:ascii="Times New Roman" w:hAnsi="Times New Roman" w:eastAsia="Times New Roman" w:cs="Times New Roman"/>
          <w:b/>
          <w:bCs/>
          <w:spacing w:val="6"/>
          <w:sz w:val="27"/>
          <w:szCs w:val="27"/>
        </w:rPr>
        <w:t>17.</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12-2006  </w:t>
      </w:r>
      <w:r>
        <w:rPr>
          <w:rFonts w:ascii="宋体" w:hAnsi="宋体" w:eastAsia="宋体" w:cs="宋体"/>
          <w:b/>
          <w:bCs/>
          <w:spacing w:val="6"/>
          <w:sz w:val="27"/>
          <w:szCs w:val="27"/>
        </w:rPr>
        <w:t>轻骨料混凝土结构技术规程</w:t>
      </w:r>
    </w:p>
    <w:p w14:paraId="27D48A4A">
      <w:pPr>
        <w:spacing w:before="286" w:line="219" w:lineRule="auto"/>
        <w:ind w:left="1"/>
        <w:rPr>
          <w:rFonts w:ascii="宋体" w:hAnsi="宋体" w:eastAsia="宋体" w:cs="宋体"/>
          <w:sz w:val="24"/>
          <w:szCs w:val="24"/>
        </w:rPr>
      </w:pPr>
      <w:r>
        <w:rPr>
          <w:rFonts w:ascii="Times New Roman" w:hAnsi="Times New Roman" w:eastAsia="Times New Roman" w:cs="Times New Roman"/>
          <w:spacing w:val="-1"/>
          <w:sz w:val="24"/>
          <w:szCs w:val="24"/>
        </w:rPr>
        <w:t xml:space="preserve">3.1.4    </w:t>
      </w:r>
      <w:r>
        <w:rPr>
          <w:rFonts w:ascii="宋体" w:hAnsi="宋体" w:eastAsia="宋体" w:cs="宋体"/>
          <w:spacing w:val="-1"/>
          <w:sz w:val="24"/>
          <w:szCs w:val="24"/>
        </w:rPr>
        <w:t>轻骨料混凝土轴心抗压、轴心抗拉强度标准值</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f</w:t>
      </w:r>
      <w:r>
        <w:rPr>
          <w:rFonts w:ascii="Times New Roman" w:hAnsi="Times New Roman" w:eastAsia="Times New Roman" w:cs="Times New Roman"/>
          <w:spacing w:val="-2"/>
          <w:sz w:val="15"/>
          <w:szCs w:val="15"/>
        </w:rPr>
        <w:t>ck</w:t>
      </w:r>
      <w:r>
        <w:rPr>
          <w:rFonts w:ascii="Times New Roman" w:hAnsi="Times New Roman" w:eastAsia="Times New Roman" w:cs="Times New Roman"/>
          <w:spacing w:val="-13"/>
          <w:sz w:val="15"/>
          <w:szCs w:val="15"/>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f</w:t>
      </w:r>
      <w:r>
        <w:rPr>
          <w:rFonts w:ascii="Times New Roman" w:hAnsi="Times New Roman" w:eastAsia="Times New Roman" w:cs="Times New Roman"/>
          <w:spacing w:val="-2"/>
          <w:sz w:val="15"/>
          <w:szCs w:val="15"/>
        </w:rPr>
        <w:t>tk</w:t>
      </w:r>
      <w:r>
        <w:rPr>
          <w:rFonts w:ascii="Times New Roman" w:hAnsi="Times New Roman" w:eastAsia="Times New Roman" w:cs="Times New Roman"/>
          <w:spacing w:val="12"/>
          <w:sz w:val="15"/>
          <w:szCs w:val="15"/>
        </w:rPr>
        <w:t xml:space="preserve"> </w:t>
      </w:r>
      <w:r>
        <w:rPr>
          <w:rFonts w:ascii="宋体" w:hAnsi="宋体" w:eastAsia="宋体" w:cs="宋体"/>
          <w:spacing w:val="-2"/>
          <w:sz w:val="24"/>
          <w:szCs w:val="24"/>
        </w:rPr>
        <w:t>应按表</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 xml:space="preserve">3.1.4 </w:t>
      </w:r>
      <w:r>
        <w:rPr>
          <w:rFonts w:ascii="宋体" w:hAnsi="宋体" w:eastAsia="宋体" w:cs="宋体"/>
          <w:spacing w:val="-2"/>
          <w:sz w:val="24"/>
          <w:szCs w:val="24"/>
        </w:rPr>
        <w:t>采用。</w:t>
      </w:r>
    </w:p>
    <w:p w14:paraId="53063954">
      <w:pPr>
        <w:spacing w:before="182" w:line="212" w:lineRule="auto"/>
        <w:ind w:left="2384"/>
        <w:rPr>
          <w:rFonts w:ascii="Times New Roman" w:hAnsi="Times New Roman" w:eastAsia="Times New Roman" w:cs="Times New Roman"/>
          <w:sz w:val="21"/>
          <w:szCs w:val="21"/>
        </w:rPr>
      </w:pPr>
      <w:r>
        <w:rPr>
          <w:rFonts w:ascii="宋体" w:hAnsi="宋体" w:eastAsia="宋体" w:cs="宋体"/>
          <w:spacing w:val="-1"/>
          <w:sz w:val="21"/>
          <w:szCs w:val="21"/>
        </w:rPr>
        <w:t>表</w:t>
      </w:r>
      <w:r>
        <w:rPr>
          <w:rFonts w:ascii="宋体" w:hAnsi="宋体" w:eastAsia="宋体" w:cs="宋体"/>
          <w:spacing w:val="-32"/>
          <w:sz w:val="21"/>
          <w:szCs w:val="21"/>
        </w:rPr>
        <w:t xml:space="preserve"> </w:t>
      </w:r>
      <w:r>
        <w:rPr>
          <w:rFonts w:ascii="Times New Roman" w:hAnsi="Times New Roman" w:eastAsia="Times New Roman" w:cs="Times New Roman"/>
          <w:spacing w:val="-1"/>
          <w:sz w:val="21"/>
          <w:szCs w:val="21"/>
        </w:rPr>
        <w:t xml:space="preserve">3.1.4    </w:t>
      </w:r>
      <w:r>
        <w:rPr>
          <w:rFonts w:ascii="宋体" w:hAnsi="宋体" w:eastAsia="宋体" w:cs="宋体"/>
          <w:spacing w:val="-1"/>
          <w:sz w:val="21"/>
          <w:szCs w:val="21"/>
        </w:rPr>
        <w:t>轻骨料混凝土的强度标准值（</w:t>
      </w:r>
      <w:r>
        <w:rPr>
          <w:rFonts w:ascii="Times New Roman" w:hAnsi="Times New Roman" w:eastAsia="Times New Roman" w:cs="Times New Roman"/>
          <w:spacing w:val="-1"/>
          <w:sz w:val="21"/>
          <w:szCs w:val="21"/>
        </w:rPr>
        <w:t>N/mm</w:t>
      </w:r>
      <w:r>
        <w:rPr>
          <w:rFonts w:ascii="Times New Roman" w:hAnsi="Times New Roman" w:eastAsia="Times New Roman" w:cs="Times New Roman"/>
          <w:spacing w:val="-1"/>
          <w:position w:val="7"/>
          <w:sz w:val="14"/>
          <w:szCs w:val="14"/>
        </w:rPr>
        <w:t>2</w:t>
      </w:r>
      <w:r>
        <w:rPr>
          <w:rFonts w:ascii="Times New Roman" w:hAnsi="Times New Roman" w:eastAsia="Times New Roman" w:cs="Times New Roman"/>
          <w:spacing w:val="-1"/>
          <w:sz w:val="21"/>
          <w:szCs w:val="21"/>
        </w:rPr>
        <w:t>)</w:t>
      </w:r>
    </w:p>
    <w:p w14:paraId="279D21B0">
      <w:pPr>
        <w:spacing w:line="27" w:lineRule="exact"/>
      </w:pPr>
    </w:p>
    <w:tbl>
      <w:tblPr>
        <w:tblStyle w:val="5"/>
        <w:tblW w:w="8526"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773"/>
        <w:gridCol w:w="773"/>
        <w:gridCol w:w="775"/>
        <w:gridCol w:w="775"/>
        <w:gridCol w:w="775"/>
        <w:gridCol w:w="775"/>
        <w:gridCol w:w="773"/>
        <w:gridCol w:w="775"/>
        <w:gridCol w:w="775"/>
        <w:gridCol w:w="779"/>
      </w:tblGrid>
      <w:tr w14:paraId="39E85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78" w:type="dxa"/>
            <w:vMerge w:val="restart"/>
            <w:tcBorders>
              <w:bottom w:val="nil"/>
            </w:tcBorders>
            <w:vAlign w:val="top"/>
          </w:tcPr>
          <w:p w14:paraId="5FFDF85C">
            <w:pPr>
              <w:pStyle w:val="6"/>
              <w:spacing w:before="112" w:line="220" w:lineRule="auto"/>
              <w:ind w:left="189"/>
            </w:pPr>
            <w:r>
              <w:rPr>
                <w:spacing w:val="-4"/>
              </w:rPr>
              <w:t>强度</w:t>
            </w:r>
          </w:p>
          <w:p w14:paraId="1BE63B68">
            <w:pPr>
              <w:pStyle w:val="6"/>
              <w:spacing w:before="108" w:line="220" w:lineRule="auto"/>
              <w:ind w:left="184"/>
            </w:pPr>
            <w:r>
              <w:rPr>
                <w:spacing w:val="-3"/>
              </w:rPr>
              <w:t>种类</w:t>
            </w:r>
          </w:p>
        </w:tc>
        <w:tc>
          <w:tcPr>
            <w:tcW w:w="7748" w:type="dxa"/>
            <w:gridSpan w:val="10"/>
            <w:vAlign w:val="top"/>
          </w:tcPr>
          <w:p w14:paraId="2266562A">
            <w:pPr>
              <w:pStyle w:val="6"/>
              <w:spacing w:before="112" w:line="215" w:lineRule="auto"/>
              <w:ind w:left="2828"/>
            </w:pPr>
            <w:r>
              <w:rPr>
                <w:spacing w:val="-1"/>
              </w:rPr>
              <w:t>轻骨料混凝土强度等级</w:t>
            </w:r>
          </w:p>
        </w:tc>
      </w:tr>
      <w:tr w14:paraId="1CEF6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78" w:type="dxa"/>
            <w:vMerge w:val="continue"/>
            <w:tcBorders>
              <w:top w:val="nil"/>
            </w:tcBorders>
            <w:vAlign w:val="top"/>
          </w:tcPr>
          <w:p w14:paraId="117AD576">
            <w:pPr>
              <w:rPr>
                <w:rFonts w:ascii="Arial"/>
                <w:sz w:val="21"/>
              </w:rPr>
            </w:pPr>
          </w:p>
        </w:tc>
        <w:tc>
          <w:tcPr>
            <w:tcW w:w="773" w:type="dxa"/>
            <w:vAlign w:val="top"/>
          </w:tcPr>
          <w:p w14:paraId="7A23D9C6">
            <w:pPr>
              <w:spacing w:before="148" w:line="186" w:lineRule="auto"/>
              <w:ind w:left="14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LC15</w:t>
            </w:r>
          </w:p>
        </w:tc>
        <w:tc>
          <w:tcPr>
            <w:tcW w:w="773" w:type="dxa"/>
            <w:vAlign w:val="top"/>
          </w:tcPr>
          <w:p w14:paraId="12576030">
            <w:pPr>
              <w:spacing w:before="148" w:line="186" w:lineRule="auto"/>
              <w:ind w:left="1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LC20</w:t>
            </w:r>
          </w:p>
        </w:tc>
        <w:tc>
          <w:tcPr>
            <w:tcW w:w="775" w:type="dxa"/>
            <w:vAlign w:val="top"/>
          </w:tcPr>
          <w:p w14:paraId="5A3AFEAA">
            <w:pPr>
              <w:spacing w:before="148"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LC25</w:t>
            </w:r>
          </w:p>
        </w:tc>
        <w:tc>
          <w:tcPr>
            <w:tcW w:w="775" w:type="dxa"/>
            <w:vAlign w:val="top"/>
          </w:tcPr>
          <w:p w14:paraId="662EBF4C">
            <w:pPr>
              <w:spacing w:before="148"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LC30</w:t>
            </w:r>
          </w:p>
        </w:tc>
        <w:tc>
          <w:tcPr>
            <w:tcW w:w="775" w:type="dxa"/>
            <w:vAlign w:val="top"/>
          </w:tcPr>
          <w:p w14:paraId="53A6DDAA">
            <w:pPr>
              <w:spacing w:before="148"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LC35</w:t>
            </w:r>
          </w:p>
        </w:tc>
        <w:tc>
          <w:tcPr>
            <w:tcW w:w="775" w:type="dxa"/>
            <w:vAlign w:val="top"/>
          </w:tcPr>
          <w:p w14:paraId="6DAEC3C5">
            <w:pPr>
              <w:spacing w:before="148" w:line="186" w:lineRule="auto"/>
              <w:ind w:left="1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LC40</w:t>
            </w:r>
          </w:p>
        </w:tc>
        <w:tc>
          <w:tcPr>
            <w:tcW w:w="773" w:type="dxa"/>
            <w:vAlign w:val="top"/>
          </w:tcPr>
          <w:p w14:paraId="3B36DE6B">
            <w:pPr>
              <w:spacing w:before="148"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LC45</w:t>
            </w:r>
          </w:p>
        </w:tc>
        <w:tc>
          <w:tcPr>
            <w:tcW w:w="775" w:type="dxa"/>
            <w:vAlign w:val="top"/>
          </w:tcPr>
          <w:p w14:paraId="718FBBDF">
            <w:pPr>
              <w:spacing w:before="148" w:line="186"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LC50</w:t>
            </w:r>
          </w:p>
        </w:tc>
        <w:tc>
          <w:tcPr>
            <w:tcW w:w="775" w:type="dxa"/>
            <w:vAlign w:val="top"/>
          </w:tcPr>
          <w:p w14:paraId="63B0D1B2">
            <w:pPr>
              <w:spacing w:before="148" w:line="186"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LC55</w:t>
            </w:r>
          </w:p>
        </w:tc>
        <w:tc>
          <w:tcPr>
            <w:tcW w:w="779" w:type="dxa"/>
            <w:vAlign w:val="top"/>
          </w:tcPr>
          <w:p w14:paraId="4E670697">
            <w:pPr>
              <w:spacing w:before="148" w:line="186"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LC60</w:t>
            </w:r>
          </w:p>
        </w:tc>
      </w:tr>
      <w:tr w14:paraId="763F3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78" w:type="dxa"/>
            <w:vAlign w:val="top"/>
          </w:tcPr>
          <w:p w14:paraId="2F4BD37F">
            <w:pPr>
              <w:spacing w:before="147" w:line="200" w:lineRule="auto"/>
              <w:ind w:left="293"/>
              <w:rPr>
                <w:rFonts w:ascii="Times New Roman" w:hAnsi="Times New Roman" w:eastAsia="Times New Roman" w:cs="Times New Roman"/>
                <w:sz w:val="14"/>
                <w:szCs w:val="14"/>
              </w:rPr>
            </w:pPr>
            <w:r>
              <w:rPr>
                <w:rFonts w:ascii="Times New Roman" w:hAnsi="Times New Roman" w:eastAsia="Times New Roman" w:cs="Times New Roman"/>
                <w:spacing w:val="-3"/>
                <w:sz w:val="21"/>
                <w:szCs w:val="21"/>
              </w:rPr>
              <w:t>f</w:t>
            </w:r>
            <w:r>
              <w:rPr>
                <w:rFonts w:ascii="Times New Roman" w:hAnsi="Times New Roman" w:eastAsia="Times New Roman" w:cs="Times New Roman"/>
                <w:spacing w:val="-3"/>
                <w:position w:val="-1"/>
                <w:sz w:val="14"/>
                <w:szCs w:val="14"/>
              </w:rPr>
              <w:t>ck</w:t>
            </w:r>
          </w:p>
        </w:tc>
        <w:tc>
          <w:tcPr>
            <w:tcW w:w="773" w:type="dxa"/>
            <w:vAlign w:val="top"/>
          </w:tcPr>
          <w:p w14:paraId="6C8F81D8">
            <w:pPr>
              <w:spacing w:before="151" w:line="186" w:lineRule="auto"/>
              <w:ind w:left="22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w:t>
            </w:r>
          </w:p>
        </w:tc>
        <w:tc>
          <w:tcPr>
            <w:tcW w:w="773" w:type="dxa"/>
            <w:vAlign w:val="top"/>
          </w:tcPr>
          <w:p w14:paraId="123C7287">
            <w:pPr>
              <w:spacing w:before="151" w:line="186" w:lineRule="auto"/>
              <w:ind w:left="224"/>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13.4</w:t>
            </w:r>
          </w:p>
        </w:tc>
        <w:tc>
          <w:tcPr>
            <w:tcW w:w="775" w:type="dxa"/>
            <w:vAlign w:val="top"/>
          </w:tcPr>
          <w:p w14:paraId="5F5E79CF">
            <w:pPr>
              <w:spacing w:before="151"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16.7</w:t>
            </w:r>
          </w:p>
        </w:tc>
        <w:tc>
          <w:tcPr>
            <w:tcW w:w="775" w:type="dxa"/>
            <w:vAlign w:val="top"/>
          </w:tcPr>
          <w:p w14:paraId="7A1C02E1">
            <w:pPr>
              <w:spacing w:before="151" w:line="186"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20.1</w:t>
            </w:r>
          </w:p>
        </w:tc>
        <w:tc>
          <w:tcPr>
            <w:tcW w:w="775" w:type="dxa"/>
            <w:vAlign w:val="top"/>
          </w:tcPr>
          <w:p w14:paraId="0C65E5EF">
            <w:pPr>
              <w:spacing w:before="151" w:line="186"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23.4</w:t>
            </w:r>
          </w:p>
        </w:tc>
        <w:tc>
          <w:tcPr>
            <w:tcW w:w="775" w:type="dxa"/>
            <w:vAlign w:val="top"/>
          </w:tcPr>
          <w:p w14:paraId="711EDCC4">
            <w:pPr>
              <w:spacing w:before="151" w:line="186"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26.8</w:t>
            </w:r>
          </w:p>
        </w:tc>
        <w:tc>
          <w:tcPr>
            <w:tcW w:w="773" w:type="dxa"/>
            <w:vAlign w:val="top"/>
          </w:tcPr>
          <w:p w14:paraId="1F9E020B">
            <w:pPr>
              <w:spacing w:before="151" w:line="186" w:lineRule="auto"/>
              <w:ind w:left="20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29.6</w:t>
            </w:r>
          </w:p>
        </w:tc>
        <w:tc>
          <w:tcPr>
            <w:tcW w:w="775" w:type="dxa"/>
            <w:vAlign w:val="top"/>
          </w:tcPr>
          <w:p w14:paraId="512C387F">
            <w:pPr>
              <w:spacing w:before="151"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32.4</w:t>
            </w:r>
          </w:p>
        </w:tc>
        <w:tc>
          <w:tcPr>
            <w:tcW w:w="775" w:type="dxa"/>
            <w:vAlign w:val="top"/>
          </w:tcPr>
          <w:p w14:paraId="0DA77D51">
            <w:pPr>
              <w:spacing w:before="151"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35.5</w:t>
            </w:r>
          </w:p>
        </w:tc>
        <w:tc>
          <w:tcPr>
            <w:tcW w:w="779" w:type="dxa"/>
            <w:vAlign w:val="top"/>
          </w:tcPr>
          <w:p w14:paraId="1566BD1A">
            <w:pPr>
              <w:spacing w:before="151" w:line="186" w:lineRule="auto"/>
              <w:ind w:left="2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38.5</w:t>
            </w:r>
          </w:p>
        </w:tc>
      </w:tr>
    </w:tbl>
    <w:p w14:paraId="52328177">
      <w:pPr>
        <w:pStyle w:val="2"/>
      </w:pPr>
    </w:p>
    <w:p w14:paraId="759EE6BE">
      <w:pPr>
        <w:sectPr>
          <w:footerReference r:id="rId28" w:type="default"/>
          <w:pgSz w:w="11907" w:h="16839"/>
          <w:pgMar w:top="400" w:right="1609" w:bottom="743" w:left="1425" w:header="0" w:footer="582" w:gutter="0"/>
          <w:cols w:space="720" w:num="1"/>
        </w:sectPr>
      </w:pPr>
    </w:p>
    <w:p w14:paraId="5F0B9B78">
      <w:pPr>
        <w:spacing w:before="41"/>
      </w:pPr>
    </w:p>
    <w:p w14:paraId="2D602E66">
      <w:pPr>
        <w:spacing w:before="41"/>
      </w:pPr>
    </w:p>
    <w:p w14:paraId="15BEF553">
      <w:pPr>
        <w:spacing w:before="40"/>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773"/>
        <w:gridCol w:w="773"/>
        <w:gridCol w:w="775"/>
        <w:gridCol w:w="775"/>
        <w:gridCol w:w="775"/>
        <w:gridCol w:w="775"/>
        <w:gridCol w:w="773"/>
        <w:gridCol w:w="775"/>
        <w:gridCol w:w="775"/>
        <w:gridCol w:w="779"/>
      </w:tblGrid>
      <w:tr w14:paraId="0EBBE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78" w:type="dxa"/>
            <w:vAlign w:val="top"/>
          </w:tcPr>
          <w:p w14:paraId="35358FDB">
            <w:pPr>
              <w:spacing w:before="148" w:line="200" w:lineRule="auto"/>
              <w:ind w:left="305"/>
              <w:rPr>
                <w:rFonts w:ascii="Times New Roman" w:hAnsi="Times New Roman" w:eastAsia="Times New Roman" w:cs="Times New Roman"/>
                <w:sz w:val="14"/>
                <w:szCs w:val="14"/>
              </w:rPr>
            </w:pPr>
            <w:r>
              <w:rPr>
                <w:rFonts w:ascii="Times New Roman" w:hAnsi="Times New Roman" w:eastAsia="Times New Roman" w:cs="Times New Roman"/>
                <w:spacing w:val="-3"/>
                <w:sz w:val="21"/>
                <w:szCs w:val="21"/>
              </w:rPr>
              <w:t>f</w:t>
            </w:r>
            <w:r>
              <w:rPr>
                <w:rFonts w:ascii="Times New Roman" w:hAnsi="Times New Roman" w:eastAsia="Times New Roman" w:cs="Times New Roman"/>
                <w:spacing w:val="-3"/>
                <w:position w:val="-1"/>
                <w:sz w:val="14"/>
                <w:szCs w:val="14"/>
              </w:rPr>
              <w:t>tk</w:t>
            </w:r>
          </w:p>
        </w:tc>
        <w:tc>
          <w:tcPr>
            <w:tcW w:w="773" w:type="dxa"/>
            <w:vAlign w:val="top"/>
          </w:tcPr>
          <w:p w14:paraId="5E7CAC52">
            <w:pPr>
              <w:spacing w:before="151" w:line="186" w:lineRule="auto"/>
              <w:ind w:left="223"/>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1.27</w:t>
            </w:r>
          </w:p>
        </w:tc>
        <w:tc>
          <w:tcPr>
            <w:tcW w:w="773" w:type="dxa"/>
            <w:vAlign w:val="top"/>
          </w:tcPr>
          <w:p w14:paraId="697BD8AE">
            <w:pPr>
              <w:spacing w:before="151" w:line="186" w:lineRule="auto"/>
              <w:ind w:left="224"/>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1.54</w:t>
            </w:r>
          </w:p>
        </w:tc>
        <w:tc>
          <w:tcPr>
            <w:tcW w:w="775" w:type="dxa"/>
            <w:vAlign w:val="top"/>
          </w:tcPr>
          <w:p w14:paraId="61671D53">
            <w:pPr>
              <w:spacing w:before="151"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1.78</w:t>
            </w:r>
          </w:p>
        </w:tc>
        <w:tc>
          <w:tcPr>
            <w:tcW w:w="775" w:type="dxa"/>
            <w:vAlign w:val="top"/>
          </w:tcPr>
          <w:p w14:paraId="7E8FA471">
            <w:pPr>
              <w:spacing w:before="151" w:line="186"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2.01</w:t>
            </w:r>
          </w:p>
        </w:tc>
        <w:tc>
          <w:tcPr>
            <w:tcW w:w="775" w:type="dxa"/>
            <w:vAlign w:val="top"/>
          </w:tcPr>
          <w:p w14:paraId="2D2AB50F">
            <w:pPr>
              <w:spacing w:before="151" w:line="186"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2.20</w:t>
            </w:r>
          </w:p>
        </w:tc>
        <w:tc>
          <w:tcPr>
            <w:tcW w:w="775" w:type="dxa"/>
            <w:vAlign w:val="top"/>
          </w:tcPr>
          <w:p w14:paraId="17CB6110">
            <w:pPr>
              <w:spacing w:before="151" w:line="186"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2.39</w:t>
            </w:r>
          </w:p>
        </w:tc>
        <w:tc>
          <w:tcPr>
            <w:tcW w:w="773" w:type="dxa"/>
            <w:vAlign w:val="top"/>
          </w:tcPr>
          <w:p w14:paraId="60C03FCA">
            <w:pPr>
              <w:spacing w:before="151" w:line="186" w:lineRule="auto"/>
              <w:ind w:left="20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2.51</w:t>
            </w:r>
          </w:p>
        </w:tc>
        <w:tc>
          <w:tcPr>
            <w:tcW w:w="775" w:type="dxa"/>
            <w:vAlign w:val="top"/>
          </w:tcPr>
          <w:p w14:paraId="5BD7EC32">
            <w:pPr>
              <w:spacing w:before="151" w:line="186"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2.64</w:t>
            </w:r>
          </w:p>
        </w:tc>
        <w:tc>
          <w:tcPr>
            <w:tcW w:w="775" w:type="dxa"/>
            <w:vAlign w:val="top"/>
          </w:tcPr>
          <w:p w14:paraId="550E0AB6">
            <w:pPr>
              <w:spacing w:before="151" w:line="186"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2.74</w:t>
            </w:r>
          </w:p>
        </w:tc>
        <w:tc>
          <w:tcPr>
            <w:tcW w:w="779" w:type="dxa"/>
            <w:vAlign w:val="top"/>
          </w:tcPr>
          <w:p w14:paraId="4BE1BEC2">
            <w:pPr>
              <w:spacing w:before="151" w:line="186"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2.85</w:t>
            </w:r>
          </w:p>
        </w:tc>
      </w:tr>
    </w:tbl>
    <w:p w14:paraId="660B7FE2">
      <w:pPr>
        <w:spacing w:before="108" w:line="318" w:lineRule="auto"/>
        <w:ind w:left="3" w:right="11"/>
        <w:rPr>
          <w:rFonts w:ascii="宋体" w:hAnsi="宋体" w:eastAsia="宋体" w:cs="宋体"/>
          <w:sz w:val="21"/>
          <w:szCs w:val="21"/>
        </w:rPr>
      </w:pPr>
      <w:r>
        <w:rPr>
          <w:rFonts w:ascii="宋体" w:hAnsi="宋体" w:eastAsia="宋体" w:cs="宋体"/>
          <w:spacing w:val="-1"/>
          <w:sz w:val="21"/>
          <w:szCs w:val="21"/>
        </w:rPr>
        <w:t>注：轴心抗拉强度标准值，对自然煤矸石混凝土应按表中数值乘以系数</w:t>
      </w:r>
      <w:r>
        <w:rPr>
          <w:rFonts w:ascii="宋体" w:hAnsi="宋体" w:eastAsia="宋体" w:cs="宋体"/>
          <w:spacing w:val="-29"/>
          <w:sz w:val="21"/>
          <w:szCs w:val="21"/>
        </w:rPr>
        <w:t xml:space="preserve"> </w:t>
      </w:r>
      <w:r>
        <w:rPr>
          <w:rFonts w:ascii="Times New Roman" w:hAnsi="Times New Roman" w:eastAsia="Times New Roman" w:cs="Times New Roman"/>
          <w:spacing w:val="-1"/>
          <w:sz w:val="21"/>
          <w:szCs w:val="21"/>
        </w:rPr>
        <w:t>0.85</w:t>
      </w:r>
      <w:r>
        <w:rPr>
          <w:rFonts w:ascii="宋体" w:hAnsi="宋体" w:eastAsia="宋体" w:cs="宋体"/>
          <w:spacing w:val="-1"/>
          <w:sz w:val="21"/>
          <w:szCs w:val="21"/>
        </w:rPr>
        <w:t>，对火山渣混凝土应按</w:t>
      </w:r>
      <w:r>
        <w:rPr>
          <w:rFonts w:ascii="宋体" w:hAnsi="宋体" w:eastAsia="宋体" w:cs="宋体"/>
          <w:sz w:val="21"/>
          <w:szCs w:val="21"/>
        </w:rPr>
        <w:t xml:space="preserve"> </w:t>
      </w:r>
      <w:r>
        <w:rPr>
          <w:rFonts w:ascii="宋体" w:hAnsi="宋体" w:eastAsia="宋体" w:cs="宋体"/>
          <w:spacing w:val="-2"/>
          <w:sz w:val="21"/>
          <w:szCs w:val="21"/>
        </w:rPr>
        <w:t>表中数值乘以系数</w:t>
      </w:r>
      <w:r>
        <w:rPr>
          <w:rFonts w:ascii="宋体" w:hAnsi="宋体" w:eastAsia="宋体" w:cs="宋体"/>
          <w:spacing w:val="-35"/>
          <w:sz w:val="21"/>
          <w:szCs w:val="21"/>
        </w:rPr>
        <w:t xml:space="preserve"> </w:t>
      </w:r>
      <w:r>
        <w:rPr>
          <w:rFonts w:ascii="Times New Roman" w:hAnsi="Times New Roman" w:eastAsia="Times New Roman" w:cs="Times New Roman"/>
          <w:spacing w:val="-2"/>
          <w:sz w:val="21"/>
          <w:szCs w:val="21"/>
        </w:rPr>
        <w:t>0.80</w:t>
      </w:r>
      <w:r>
        <w:rPr>
          <w:rFonts w:ascii="宋体" w:hAnsi="宋体" w:eastAsia="宋体" w:cs="宋体"/>
          <w:spacing w:val="-2"/>
          <w:sz w:val="21"/>
          <w:szCs w:val="21"/>
        </w:rPr>
        <w:t>。</w:t>
      </w:r>
    </w:p>
    <w:p w14:paraId="471F7ADA">
      <w:pPr>
        <w:spacing w:before="34" w:line="219" w:lineRule="auto"/>
        <w:ind w:left="5"/>
        <w:rPr>
          <w:rFonts w:ascii="宋体" w:hAnsi="宋体" w:eastAsia="宋体" w:cs="宋体"/>
          <w:sz w:val="24"/>
          <w:szCs w:val="24"/>
        </w:rPr>
      </w:pPr>
      <w:r>
        <w:rPr>
          <w:rFonts w:ascii="Times New Roman" w:hAnsi="Times New Roman" w:eastAsia="Times New Roman" w:cs="Times New Roman"/>
          <w:spacing w:val="-2"/>
          <w:sz w:val="24"/>
          <w:szCs w:val="24"/>
        </w:rPr>
        <w:t xml:space="preserve">3.1.5    </w:t>
      </w:r>
      <w:r>
        <w:rPr>
          <w:rFonts w:ascii="宋体" w:hAnsi="宋体" w:eastAsia="宋体" w:cs="宋体"/>
          <w:spacing w:val="-2"/>
          <w:sz w:val="24"/>
          <w:szCs w:val="24"/>
        </w:rPr>
        <w:t>轻骨料混凝土轴心抗压、轴心抗拉强度设计值</w:t>
      </w:r>
      <w:r>
        <w:rPr>
          <w:rFonts w:ascii="宋体" w:hAnsi="宋体" w:eastAsia="宋体" w:cs="宋体"/>
          <w:spacing w:val="-37"/>
          <w:sz w:val="24"/>
          <w:szCs w:val="24"/>
        </w:rPr>
        <w:t xml:space="preserve"> </w:t>
      </w:r>
      <w:r>
        <w:rPr>
          <w:rFonts w:ascii="Times New Roman" w:hAnsi="Times New Roman" w:eastAsia="Times New Roman" w:cs="Times New Roman"/>
          <w:spacing w:val="-2"/>
          <w:sz w:val="24"/>
          <w:szCs w:val="24"/>
        </w:rPr>
        <w:t>f</w:t>
      </w:r>
      <w:r>
        <w:rPr>
          <w:rFonts w:ascii="Times New Roman" w:hAnsi="Times New Roman" w:eastAsia="Times New Roman" w:cs="Times New Roman"/>
          <w:spacing w:val="-2"/>
          <w:sz w:val="15"/>
          <w:szCs w:val="15"/>
        </w:rPr>
        <w:t>c</w:t>
      </w:r>
      <w:r>
        <w:rPr>
          <w:rFonts w:ascii="Times New Roman" w:hAnsi="Times New Roman" w:eastAsia="Times New Roman" w:cs="Times New Roman"/>
          <w:spacing w:val="-11"/>
          <w:sz w:val="15"/>
          <w:szCs w:val="15"/>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f</w:t>
      </w:r>
      <w:r>
        <w:rPr>
          <w:rFonts w:ascii="Times New Roman" w:hAnsi="Times New Roman" w:eastAsia="Times New Roman" w:cs="Times New Roman"/>
          <w:spacing w:val="-2"/>
          <w:sz w:val="15"/>
          <w:szCs w:val="15"/>
        </w:rPr>
        <w:t>t</w:t>
      </w:r>
      <w:r>
        <w:rPr>
          <w:rFonts w:ascii="Times New Roman" w:hAnsi="Times New Roman" w:eastAsia="Times New Roman" w:cs="Times New Roman"/>
          <w:spacing w:val="11"/>
          <w:w w:val="101"/>
          <w:sz w:val="15"/>
          <w:szCs w:val="15"/>
        </w:rPr>
        <w:t xml:space="preserve"> </w:t>
      </w:r>
      <w:r>
        <w:rPr>
          <w:rFonts w:ascii="宋体" w:hAnsi="宋体" w:eastAsia="宋体" w:cs="宋体"/>
          <w:spacing w:val="-2"/>
          <w:sz w:val="24"/>
          <w:szCs w:val="24"/>
        </w:rPr>
        <w:t>应按表</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 xml:space="preserve">3.1.5 </w:t>
      </w:r>
      <w:r>
        <w:rPr>
          <w:rFonts w:ascii="宋体" w:hAnsi="宋体" w:eastAsia="宋体" w:cs="宋体"/>
          <w:spacing w:val="-2"/>
          <w:sz w:val="24"/>
          <w:szCs w:val="24"/>
        </w:rPr>
        <w:t>采用。</w:t>
      </w:r>
    </w:p>
    <w:p w14:paraId="798B8B82">
      <w:pPr>
        <w:spacing w:before="179" w:line="220" w:lineRule="auto"/>
        <w:ind w:left="2319"/>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32"/>
          <w:sz w:val="21"/>
          <w:szCs w:val="21"/>
        </w:rPr>
        <w:t xml:space="preserve"> </w:t>
      </w:r>
      <w:r>
        <w:rPr>
          <w:rFonts w:ascii="Times New Roman" w:hAnsi="Times New Roman" w:eastAsia="Times New Roman" w:cs="Times New Roman"/>
          <w:spacing w:val="-1"/>
          <w:sz w:val="21"/>
          <w:szCs w:val="21"/>
        </w:rPr>
        <w:t xml:space="preserve">3.1.5    </w:t>
      </w:r>
      <w:r>
        <w:rPr>
          <w:rFonts w:ascii="宋体" w:hAnsi="宋体" w:eastAsia="宋体" w:cs="宋体"/>
          <w:spacing w:val="-1"/>
          <w:sz w:val="21"/>
          <w:szCs w:val="21"/>
        </w:rPr>
        <w:t>轻骨料混凝土的强度设计值（</w:t>
      </w:r>
      <w:r>
        <w:rPr>
          <w:rFonts w:ascii="Times New Roman" w:hAnsi="Times New Roman" w:eastAsia="Times New Roman" w:cs="Times New Roman"/>
          <w:spacing w:val="-1"/>
          <w:sz w:val="21"/>
          <w:szCs w:val="21"/>
        </w:rPr>
        <w:t>N/mm</w:t>
      </w:r>
      <w:r>
        <w:rPr>
          <w:rFonts w:ascii="Times New Roman" w:hAnsi="Times New Roman" w:eastAsia="Times New Roman" w:cs="Times New Roman"/>
          <w:spacing w:val="-1"/>
          <w:position w:val="7"/>
          <w:sz w:val="14"/>
          <w:szCs w:val="14"/>
        </w:rPr>
        <w:t>2</w:t>
      </w:r>
      <w:r>
        <w:rPr>
          <w:rFonts w:ascii="宋体" w:hAnsi="宋体" w:eastAsia="宋体" w:cs="宋体"/>
          <w:spacing w:val="-1"/>
          <w:sz w:val="21"/>
          <w:szCs w:val="21"/>
        </w:rPr>
        <w:t>）</w:t>
      </w:r>
    </w:p>
    <w:p w14:paraId="66FDD3C0">
      <w:pPr>
        <w:spacing w:line="18"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773"/>
        <w:gridCol w:w="773"/>
        <w:gridCol w:w="775"/>
        <w:gridCol w:w="775"/>
        <w:gridCol w:w="775"/>
        <w:gridCol w:w="775"/>
        <w:gridCol w:w="773"/>
        <w:gridCol w:w="775"/>
        <w:gridCol w:w="775"/>
        <w:gridCol w:w="779"/>
      </w:tblGrid>
      <w:tr w14:paraId="5AA27B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78" w:type="dxa"/>
            <w:vMerge w:val="restart"/>
            <w:tcBorders>
              <w:bottom w:val="nil"/>
            </w:tcBorders>
            <w:vAlign w:val="top"/>
          </w:tcPr>
          <w:p w14:paraId="4B628CF2">
            <w:pPr>
              <w:pStyle w:val="6"/>
              <w:spacing w:before="113" w:line="220" w:lineRule="auto"/>
              <w:ind w:left="189"/>
            </w:pPr>
            <w:r>
              <w:rPr>
                <w:spacing w:val="-4"/>
              </w:rPr>
              <w:t>强度</w:t>
            </w:r>
          </w:p>
          <w:p w14:paraId="59EA4EC5">
            <w:pPr>
              <w:pStyle w:val="6"/>
              <w:spacing w:before="108" w:line="220" w:lineRule="auto"/>
              <w:ind w:left="184"/>
            </w:pPr>
            <w:r>
              <w:rPr>
                <w:spacing w:val="-3"/>
              </w:rPr>
              <w:t>种类</w:t>
            </w:r>
          </w:p>
        </w:tc>
        <w:tc>
          <w:tcPr>
            <w:tcW w:w="7748" w:type="dxa"/>
            <w:gridSpan w:val="10"/>
            <w:vAlign w:val="top"/>
          </w:tcPr>
          <w:p w14:paraId="1831B6BE">
            <w:pPr>
              <w:pStyle w:val="6"/>
              <w:spacing w:before="113" w:line="216" w:lineRule="auto"/>
              <w:ind w:left="2723"/>
            </w:pPr>
            <w:r>
              <w:rPr>
                <w:spacing w:val="-1"/>
              </w:rPr>
              <w:t>轻骨料混凝土强度设计值</w:t>
            </w:r>
          </w:p>
        </w:tc>
      </w:tr>
      <w:tr w14:paraId="7E072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78" w:type="dxa"/>
            <w:vMerge w:val="continue"/>
            <w:tcBorders>
              <w:top w:val="nil"/>
            </w:tcBorders>
            <w:vAlign w:val="top"/>
          </w:tcPr>
          <w:p w14:paraId="261E3AEE">
            <w:pPr>
              <w:rPr>
                <w:rFonts w:ascii="Arial"/>
                <w:sz w:val="21"/>
              </w:rPr>
            </w:pPr>
          </w:p>
        </w:tc>
        <w:tc>
          <w:tcPr>
            <w:tcW w:w="773" w:type="dxa"/>
            <w:vAlign w:val="top"/>
          </w:tcPr>
          <w:p w14:paraId="63A417AA">
            <w:pPr>
              <w:spacing w:before="147" w:line="186" w:lineRule="auto"/>
              <w:ind w:left="14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LC15</w:t>
            </w:r>
          </w:p>
        </w:tc>
        <w:tc>
          <w:tcPr>
            <w:tcW w:w="773" w:type="dxa"/>
            <w:vAlign w:val="top"/>
          </w:tcPr>
          <w:p w14:paraId="03E76457">
            <w:pPr>
              <w:spacing w:before="147" w:line="186" w:lineRule="auto"/>
              <w:ind w:left="1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LC20</w:t>
            </w:r>
          </w:p>
        </w:tc>
        <w:tc>
          <w:tcPr>
            <w:tcW w:w="775" w:type="dxa"/>
            <w:vAlign w:val="top"/>
          </w:tcPr>
          <w:p w14:paraId="2BA69F2E">
            <w:pPr>
              <w:spacing w:before="147"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LC25</w:t>
            </w:r>
          </w:p>
        </w:tc>
        <w:tc>
          <w:tcPr>
            <w:tcW w:w="775" w:type="dxa"/>
            <w:vAlign w:val="top"/>
          </w:tcPr>
          <w:p w14:paraId="56E41E82">
            <w:pPr>
              <w:spacing w:before="147"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LC30</w:t>
            </w:r>
          </w:p>
        </w:tc>
        <w:tc>
          <w:tcPr>
            <w:tcW w:w="775" w:type="dxa"/>
            <w:vAlign w:val="top"/>
          </w:tcPr>
          <w:p w14:paraId="6B0B32A8">
            <w:pPr>
              <w:spacing w:before="147"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LC35</w:t>
            </w:r>
          </w:p>
        </w:tc>
        <w:tc>
          <w:tcPr>
            <w:tcW w:w="775" w:type="dxa"/>
            <w:vAlign w:val="top"/>
          </w:tcPr>
          <w:p w14:paraId="47ABD81B">
            <w:pPr>
              <w:spacing w:before="147" w:line="186" w:lineRule="auto"/>
              <w:ind w:left="1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LC40</w:t>
            </w:r>
          </w:p>
        </w:tc>
        <w:tc>
          <w:tcPr>
            <w:tcW w:w="773" w:type="dxa"/>
            <w:vAlign w:val="top"/>
          </w:tcPr>
          <w:p w14:paraId="52917602">
            <w:pPr>
              <w:spacing w:before="147" w:line="186" w:lineRule="auto"/>
              <w:ind w:left="1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LC45</w:t>
            </w:r>
          </w:p>
        </w:tc>
        <w:tc>
          <w:tcPr>
            <w:tcW w:w="775" w:type="dxa"/>
            <w:vAlign w:val="top"/>
          </w:tcPr>
          <w:p w14:paraId="49A691F8">
            <w:pPr>
              <w:spacing w:before="147" w:line="186"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LC50</w:t>
            </w:r>
          </w:p>
        </w:tc>
        <w:tc>
          <w:tcPr>
            <w:tcW w:w="775" w:type="dxa"/>
            <w:vAlign w:val="top"/>
          </w:tcPr>
          <w:p w14:paraId="6FFF3665">
            <w:pPr>
              <w:spacing w:before="147" w:line="186"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LC55</w:t>
            </w:r>
          </w:p>
        </w:tc>
        <w:tc>
          <w:tcPr>
            <w:tcW w:w="779" w:type="dxa"/>
            <w:vAlign w:val="top"/>
          </w:tcPr>
          <w:p w14:paraId="2F1E9DA1">
            <w:pPr>
              <w:spacing w:before="147" w:line="186" w:lineRule="auto"/>
              <w:ind w:left="1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LC60</w:t>
            </w:r>
          </w:p>
        </w:tc>
      </w:tr>
      <w:tr w14:paraId="18576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78" w:type="dxa"/>
            <w:vAlign w:val="top"/>
          </w:tcPr>
          <w:p w14:paraId="5B5BF895">
            <w:pPr>
              <w:spacing w:before="145" w:line="200" w:lineRule="auto"/>
              <w:ind w:left="328"/>
              <w:rPr>
                <w:rFonts w:ascii="Times New Roman" w:hAnsi="Times New Roman" w:eastAsia="Times New Roman" w:cs="Times New Roman"/>
                <w:sz w:val="14"/>
                <w:szCs w:val="14"/>
              </w:rPr>
            </w:pPr>
            <w:r>
              <w:rPr>
                <w:rFonts w:ascii="Times New Roman" w:hAnsi="Times New Roman" w:eastAsia="Times New Roman" w:cs="Times New Roman"/>
                <w:spacing w:val="6"/>
                <w:sz w:val="21"/>
                <w:szCs w:val="21"/>
              </w:rPr>
              <w:t>f</w:t>
            </w:r>
            <w:r>
              <w:rPr>
                <w:rFonts w:ascii="Times New Roman" w:hAnsi="Times New Roman" w:eastAsia="Times New Roman" w:cs="Times New Roman"/>
                <w:spacing w:val="6"/>
                <w:position w:val="-1"/>
                <w:sz w:val="14"/>
                <w:szCs w:val="14"/>
              </w:rPr>
              <w:t>c</w:t>
            </w:r>
          </w:p>
        </w:tc>
        <w:tc>
          <w:tcPr>
            <w:tcW w:w="773" w:type="dxa"/>
            <w:vAlign w:val="top"/>
          </w:tcPr>
          <w:p w14:paraId="15FEC957">
            <w:pPr>
              <w:spacing w:before="149" w:line="186" w:lineRule="auto"/>
              <w:ind w:left="2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7.2</w:t>
            </w:r>
          </w:p>
        </w:tc>
        <w:tc>
          <w:tcPr>
            <w:tcW w:w="773" w:type="dxa"/>
            <w:vAlign w:val="top"/>
          </w:tcPr>
          <w:p w14:paraId="74900CFC">
            <w:pPr>
              <w:spacing w:before="149" w:line="186" w:lineRule="auto"/>
              <w:ind w:left="26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9.6</w:t>
            </w:r>
          </w:p>
        </w:tc>
        <w:tc>
          <w:tcPr>
            <w:tcW w:w="775" w:type="dxa"/>
            <w:vAlign w:val="top"/>
          </w:tcPr>
          <w:p w14:paraId="4AB7F1B3">
            <w:pPr>
              <w:spacing w:before="149" w:line="186" w:lineRule="auto"/>
              <w:ind w:left="229"/>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11.9</w:t>
            </w:r>
          </w:p>
        </w:tc>
        <w:tc>
          <w:tcPr>
            <w:tcW w:w="775" w:type="dxa"/>
            <w:vAlign w:val="top"/>
          </w:tcPr>
          <w:p w14:paraId="6D0AB9B4">
            <w:pPr>
              <w:spacing w:before="149"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14.3</w:t>
            </w:r>
          </w:p>
        </w:tc>
        <w:tc>
          <w:tcPr>
            <w:tcW w:w="775" w:type="dxa"/>
            <w:vAlign w:val="top"/>
          </w:tcPr>
          <w:p w14:paraId="150B956E">
            <w:pPr>
              <w:spacing w:before="149"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16.7</w:t>
            </w:r>
          </w:p>
        </w:tc>
        <w:tc>
          <w:tcPr>
            <w:tcW w:w="775" w:type="dxa"/>
            <w:vAlign w:val="top"/>
          </w:tcPr>
          <w:p w14:paraId="2B1A7098">
            <w:pPr>
              <w:spacing w:before="149"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19.1</w:t>
            </w:r>
          </w:p>
        </w:tc>
        <w:tc>
          <w:tcPr>
            <w:tcW w:w="773" w:type="dxa"/>
            <w:vAlign w:val="top"/>
          </w:tcPr>
          <w:p w14:paraId="3EF0EBAC">
            <w:pPr>
              <w:spacing w:before="149" w:line="186" w:lineRule="auto"/>
              <w:ind w:left="20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21.1</w:t>
            </w:r>
          </w:p>
        </w:tc>
        <w:tc>
          <w:tcPr>
            <w:tcW w:w="775" w:type="dxa"/>
            <w:vAlign w:val="top"/>
          </w:tcPr>
          <w:p w14:paraId="2CF9982D">
            <w:pPr>
              <w:spacing w:before="149" w:line="186"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23.1</w:t>
            </w:r>
          </w:p>
        </w:tc>
        <w:tc>
          <w:tcPr>
            <w:tcW w:w="775" w:type="dxa"/>
            <w:vAlign w:val="top"/>
          </w:tcPr>
          <w:p w14:paraId="114787AA">
            <w:pPr>
              <w:spacing w:before="149" w:line="186"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25.3</w:t>
            </w:r>
          </w:p>
        </w:tc>
        <w:tc>
          <w:tcPr>
            <w:tcW w:w="779" w:type="dxa"/>
            <w:vAlign w:val="top"/>
          </w:tcPr>
          <w:p w14:paraId="3DE439EE">
            <w:pPr>
              <w:spacing w:before="149" w:line="186"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27.5</w:t>
            </w:r>
          </w:p>
        </w:tc>
      </w:tr>
      <w:tr w14:paraId="70E22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78" w:type="dxa"/>
            <w:vAlign w:val="top"/>
          </w:tcPr>
          <w:p w14:paraId="7CF4EF34">
            <w:pPr>
              <w:spacing w:before="147" w:line="200" w:lineRule="auto"/>
              <w:ind w:left="340"/>
              <w:rPr>
                <w:rFonts w:ascii="Times New Roman" w:hAnsi="Times New Roman" w:eastAsia="Times New Roman" w:cs="Times New Roman"/>
                <w:sz w:val="14"/>
                <w:szCs w:val="14"/>
              </w:rPr>
            </w:pPr>
            <w:r>
              <w:rPr>
                <w:rFonts w:ascii="Times New Roman" w:hAnsi="Times New Roman" w:eastAsia="Times New Roman" w:cs="Times New Roman"/>
                <w:spacing w:val="6"/>
                <w:sz w:val="21"/>
                <w:szCs w:val="21"/>
              </w:rPr>
              <w:t>f</w:t>
            </w:r>
            <w:r>
              <w:rPr>
                <w:rFonts w:ascii="Times New Roman" w:hAnsi="Times New Roman" w:eastAsia="Times New Roman" w:cs="Times New Roman"/>
                <w:spacing w:val="6"/>
                <w:position w:val="-1"/>
                <w:sz w:val="14"/>
                <w:szCs w:val="14"/>
              </w:rPr>
              <w:t>t</w:t>
            </w:r>
          </w:p>
        </w:tc>
        <w:tc>
          <w:tcPr>
            <w:tcW w:w="773" w:type="dxa"/>
            <w:vAlign w:val="top"/>
          </w:tcPr>
          <w:p w14:paraId="0EACDDCB">
            <w:pPr>
              <w:spacing w:before="150" w:line="186"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0.91</w:t>
            </w:r>
          </w:p>
        </w:tc>
        <w:tc>
          <w:tcPr>
            <w:tcW w:w="773" w:type="dxa"/>
            <w:vAlign w:val="top"/>
          </w:tcPr>
          <w:p w14:paraId="61F9AF3E">
            <w:pPr>
              <w:spacing w:before="150" w:line="186" w:lineRule="auto"/>
              <w:ind w:left="224"/>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1.10</w:t>
            </w:r>
          </w:p>
        </w:tc>
        <w:tc>
          <w:tcPr>
            <w:tcW w:w="775" w:type="dxa"/>
            <w:vAlign w:val="top"/>
          </w:tcPr>
          <w:p w14:paraId="46FBCCEB">
            <w:pPr>
              <w:spacing w:before="150"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1.27</w:t>
            </w:r>
          </w:p>
        </w:tc>
        <w:tc>
          <w:tcPr>
            <w:tcW w:w="775" w:type="dxa"/>
            <w:vAlign w:val="top"/>
          </w:tcPr>
          <w:p w14:paraId="4F132C53">
            <w:pPr>
              <w:spacing w:before="150"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1.43</w:t>
            </w:r>
          </w:p>
        </w:tc>
        <w:tc>
          <w:tcPr>
            <w:tcW w:w="775" w:type="dxa"/>
            <w:vAlign w:val="top"/>
          </w:tcPr>
          <w:p w14:paraId="59EAAE0A">
            <w:pPr>
              <w:spacing w:before="150"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1.57</w:t>
            </w:r>
          </w:p>
        </w:tc>
        <w:tc>
          <w:tcPr>
            <w:tcW w:w="775" w:type="dxa"/>
            <w:vAlign w:val="top"/>
          </w:tcPr>
          <w:p w14:paraId="16C7EDF8">
            <w:pPr>
              <w:spacing w:before="150" w:line="18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1.71</w:t>
            </w:r>
          </w:p>
        </w:tc>
        <w:tc>
          <w:tcPr>
            <w:tcW w:w="773" w:type="dxa"/>
            <w:vAlign w:val="top"/>
          </w:tcPr>
          <w:p w14:paraId="3EA90EA6">
            <w:pPr>
              <w:spacing w:before="150" w:line="186" w:lineRule="auto"/>
              <w:ind w:left="225"/>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1.80</w:t>
            </w:r>
          </w:p>
        </w:tc>
        <w:tc>
          <w:tcPr>
            <w:tcW w:w="775" w:type="dxa"/>
            <w:vAlign w:val="top"/>
          </w:tcPr>
          <w:p w14:paraId="7114F9C3">
            <w:pPr>
              <w:spacing w:before="150" w:line="186" w:lineRule="auto"/>
              <w:ind w:left="228"/>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1.89</w:t>
            </w:r>
          </w:p>
        </w:tc>
        <w:tc>
          <w:tcPr>
            <w:tcW w:w="775" w:type="dxa"/>
            <w:vAlign w:val="top"/>
          </w:tcPr>
          <w:p w14:paraId="448D9C03">
            <w:pPr>
              <w:spacing w:before="150" w:line="186" w:lineRule="auto"/>
              <w:ind w:left="228"/>
              <w:rPr>
                <w:rFonts w:ascii="Times New Roman" w:hAnsi="Times New Roman" w:eastAsia="Times New Roman" w:cs="Times New Roman"/>
                <w:sz w:val="21"/>
                <w:szCs w:val="21"/>
              </w:rPr>
            </w:pPr>
            <w:r>
              <w:rPr>
                <w:rFonts w:ascii="Times New Roman" w:hAnsi="Times New Roman" w:eastAsia="Times New Roman" w:cs="Times New Roman"/>
                <w:spacing w:val="-7"/>
                <w:sz w:val="21"/>
                <w:szCs w:val="21"/>
              </w:rPr>
              <w:t>1.96</w:t>
            </w:r>
          </w:p>
        </w:tc>
        <w:tc>
          <w:tcPr>
            <w:tcW w:w="779" w:type="dxa"/>
            <w:vAlign w:val="top"/>
          </w:tcPr>
          <w:p w14:paraId="79BD48A3">
            <w:pPr>
              <w:spacing w:before="150" w:line="186"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2.04</w:t>
            </w:r>
          </w:p>
        </w:tc>
      </w:tr>
    </w:tbl>
    <w:p w14:paraId="0C8282A2">
      <w:pPr>
        <w:spacing w:before="107" w:line="219" w:lineRule="auto"/>
        <w:ind w:left="4"/>
        <w:rPr>
          <w:rFonts w:ascii="宋体" w:hAnsi="宋体" w:eastAsia="宋体" w:cs="宋体"/>
          <w:sz w:val="21"/>
          <w:szCs w:val="21"/>
        </w:rPr>
      </w:pPr>
      <w:r>
        <w:rPr>
          <w:rFonts w:ascii="宋体" w:hAnsi="宋体" w:eastAsia="宋体" w:cs="宋体"/>
          <w:sz w:val="21"/>
          <w:szCs w:val="21"/>
        </w:rPr>
        <w:t>注：</w:t>
      </w:r>
      <w:r>
        <w:rPr>
          <w:rFonts w:ascii="Times New Roman" w:hAnsi="Times New Roman" w:eastAsia="Times New Roman" w:cs="Times New Roman"/>
          <w:sz w:val="21"/>
          <w:szCs w:val="21"/>
        </w:rPr>
        <w:t xml:space="preserve">1  </w:t>
      </w:r>
      <w:r>
        <w:rPr>
          <w:rFonts w:ascii="宋体" w:hAnsi="宋体" w:eastAsia="宋体" w:cs="宋体"/>
          <w:sz w:val="21"/>
          <w:szCs w:val="21"/>
        </w:rPr>
        <w:t>计算现浇钢筋轻骨料混凝土轴心受压及偏心受压构件时，如</w:t>
      </w:r>
      <w:r>
        <w:rPr>
          <w:rFonts w:ascii="宋体" w:hAnsi="宋体" w:eastAsia="宋体" w:cs="宋体"/>
          <w:spacing w:val="-1"/>
          <w:sz w:val="21"/>
          <w:szCs w:val="21"/>
        </w:rPr>
        <w:t>截面的边长或直径小于</w:t>
      </w:r>
    </w:p>
    <w:p w14:paraId="2461FA38">
      <w:pPr>
        <w:spacing w:before="112" w:line="316" w:lineRule="auto"/>
        <w:ind w:left="4" w:right="110"/>
        <w:rPr>
          <w:rFonts w:ascii="宋体" w:hAnsi="宋体" w:eastAsia="宋体" w:cs="宋体"/>
          <w:sz w:val="21"/>
          <w:szCs w:val="21"/>
        </w:rPr>
      </w:pPr>
      <w:r>
        <w:rPr>
          <w:rFonts w:ascii="Times New Roman" w:hAnsi="Times New Roman" w:eastAsia="Times New Roman" w:cs="Times New Roman"/>
          <w:spacing w:val="-1"/>
          <w:sz w:val="21"/>
          <w:szCs w:val="21"/>
        </w:rPr>
        <w:t>300mm</w:t>
      </w:r>
      <w:r>
        <w:rPr>
          <w:rFonts w:ascii="宋体" w:hAnsi="宋体" w:eastAsia="宋体" w:cs="宋体"/>
          <w:spacing w:val="-1"/>
          <w:sz w:val="21"/>
          <w:szCs w:val="21"/>
        </w:rPr>
        <w:t>，则表中轻骨料混凝土的强度设计值应乘以系数</w:t>
      </w:r>
      <w:r>
        <w:rPr>
          <w:rFonts w:ascii="宋体" w:hAnsi="宋体" w:eastAsia="宋体" w:cs="宋体"/>
          <w:spacing w:val="-34"/>
          <w:sz w:val="21"/>
          <w:szCs w:val="21"/>
        </w:rPr>
        <w:t xml:space="preserve"> </w:t>
      </w:r>
      <w:r>
        <w:rPr>
          <w:rFonts w:ascii="Times New Roman" w:hAnsi="Times New Roman" w:eastAsia="Times New Roman" w:cs="Times New Roman"/>
          <w:spacing w:val="-1"/>
          <w:sz w:val="21"/>
          <w:szCs w:val="21"/>
        </w:rPr>
        <w:t>0.8</w:t>
      </w:r>
      <w:r>
        <w:rPr>
          <w:rFonts w:ascii="宋体" w:hAnsi="宋体" w:eastAsia="宋体" w:cs="宋体"/>
          <w:spacing w:val="-1"/>
          <w:sz w:val="21"/>
          <w:szCs w:val="21"/>
        </w:rPr>
        <w:t>；当构件质量（如混凝土成型、截面和</w:t>
      </w:r>
      <w:r>
        <w:rPr>
          <w:rFonts w:ascii="宋体" w:hAnsi="宋体" w:eastAsia="宋体" w:cs="宋体"/>
          <w:sz w:val="21"/>
          <w:szCs w:val="21"/>
        </w:rPr>
        <w:t xml:space="preserve"> </w:t>
      </w:r>
      <w:r>
        <w:rPr>
          <w:rFonts w:ascii="宋体" w:hAnsi="宋体" w:eastAsia="宋体" w:cs="宋体"/>
          <w:spacing w:val="-3"/>
          <w:sz w:val="21"/>
          <w:szCs w:val="21"/>
        </w:rPr>
        <w:t>轴线尺寸等）确有保证时，可不受此限。</w:t>
      </w:r>
    </w:p>
    <w:p w14:paraId="697FF62E">
      <w:pPr>
        <w:spacing w:before="2" w:line="318" w:lineRule="auto"/>
        <w:ind w:left="28" w:firstLine="392"/>
        <w:rPr>
          <w:rFonts w:ascii="宋体" w:hAnsi="宋体" w:eastAsia="宋体" w:cs="宋体"/>
          <w:sz w:val="21"/>
          <w:szCs w:val="21"/>
        </w:rPr>
      </w:pPr>
      <w:r>
        <w:rPr>
          <w:rFonts w:ascii="Times New Roman" w:hAnsi="Times New Roman" w:eastAsia="Times New Roman" w:cs="Times New Roman"/>
          <w:sz w:val="21"/>
          <w:szCs w:val="21"/>
        </w:rPr>
        <w:t xml:space="preserve">2  </w:t>
      </w:r>
      <w:r>
        <w:rPr>
          <w:rFonts w:ascii="宋体" w:hAnsi="宋体" w:eastAsia="宋体" w:cs="宋体"/>
          <w:sz w:val="21"/>
          <w:szCs w:val="21"/>
        </w:rPr>
        <w:t>轴心抗拉强度设计值：用于承载能力极限状态计算时，对自燃煤矸石混凝土应</w:t>
      </w:r>
      <w:r>
        <w:rPr>
          <w:rFonts w:ascii="宋体" w:hAnsi="宋体" w:eastAsia="宋体" w:cs="宋体"/>
          <w:spacing w:val="-1"/>
          <w:sz w:val="21"/>
          <w:szCs w:val="21"/>
        </w:rPr>
        <w:t>按表中数值乘</w:t>
      </w:r>
      <w:r>
        <w:rPr>
          <w:rFonts w:ascii="宋体" w:hAnsi="宋体" w:eastAsia="宋体" w:cs="宋体"/>
          <w:sz w:val="21"/>
          <w:szCs w:val="21"/>
        </w:rPr>
        <w:t xml:space="preserve"> </w:t>
      </w:r>
      <w:r>
        <w:rPr>
          <w:rFonts w:ascii="宋体" w:hAnsi="宋体" w:eastAsia="宋体" w:cs="宋体"/>
          <w:spacing w:val="-2"/>
          <w:sz w:val="21"/>
          <w:szCs w:val="21"/>
        </w:rPr>
        <w:t>以系数</w:t>
      </w:r>
      <w:r>
        <w:rPr>
          <w:rFonts w:ascii="宋体" w:hAnsi="宋体" w:eastAsia="宋体" w:cs="宋体"/>
          <w:spacing w:val="-43"/>
          <w:sz w:val="21"/>
          <w:szCs w:val="21"/>
        </w:rPr>
        <w:t xml:space="preserve"> </w:t>
      </w:r>
      <w:r>
        <w:rPr>
          <w:rFonts w:ascii="Times New Roman" w:hAnsi="Times New Roman" w:eastAsia="Times New Roman" w:cs="Times New Roman"/>
          <w:spacing w:val="-2"/>
          <w:sz w:val="21"/>
          <w:szCs w:val="21"/>
        </w:rPr>
        <w:t>0.85</w:t>
      </w:r>
      <w:r>
        <w:rPr>
          <w:rFonts w:ascii="宋体" w:hAnsi="宋体" w:eastAsia="宋体" w:cs="宋体"/>
          <w:spacing w:val="-2"/>
          <w:sz w:val="21"/>
          <w:szCs w:val="21"/>
        </w:rPr>
        <w:t>，对火山渣混凝土应按表中数值乘以系数</w:t>
      </w:r>
      <w:r>
        <w:rPr>
          <w:rFonts w:ascii="宋体" w:hAnsi="宋体" w:eastAsia="宋体" w:cs="宋体"/>
          <w:spacing w:val="-36"/>
          <w:sz w:val="21"/>
          <w:szCs w:val="21"/>
        </w:rPr>
        <w:t xml:space="preserve"> </w:t>
      </w:r>
      <w:r>
        <w:rPr>
          <w:rFonts w:ascii="Times New Roman" w:hAnsi="Times New Roman" w:eastAsia="Times New Roman" w:cs="Times New Roman"/>
          <w:spacing w:val="-2"/>
          <w:sz w:val="21"/>
          <w:szCs w:val="21"/>
        </w:rPr>
        <w:t>0.80</w:t>
      </w:r>
      <w:r>
        <w:rPr>
          <w:rFonts w:ascii="宋体" w:hAnsi="宋体" w:eastAsia="宋体" w:cs="宋体"/>
          <w:spacing w:val="-2"/>
          <w:sz w:val="21"/>
          <w:szCs w:val="21"/>
        </w:rPr>
        <w:t>；用于构造计算时，应按表取值。</w:t>
      </w:r>
    </w:p>
    <w:p w14:paraId="34FFE2A2">
      <w:pPr>
        <w:spacing w:before="34"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4.1.3    </w:t>
      </w:r>
      <w:r>
        <w:rPr>
          <w:rFonts w:ascii="宋体" w:hAnsi="宋体" w:eastAsia="宋体" w:cs="宋体"/>
          <w:spacing w:val="-1"/>
          <w:sz w:val="24"/>
          <w:szCs w:val="24"/>
        </w:rPr>
        <w:t>未经技术鉴定或设计许可，不得改变结构的用途和使用环</w:t>
      </w:r>
      <w:r>
        <w:rPr>
          <w:rFonts w:ascii="宋体" w:hAnsi="宋体" w:eastAsia="宋体" w:cs="宋体"/>
          <w:spacing w:val="-2"/>
          <w:sz w:val="24"/>
          <w:szCs w:val="24"/>
        </w:rPr>
        <w:t>境。</w:t>
      </w:r>
    </w:p>
    <w:p w14:paraId="4CA86729">
      <w:pPr>
        <w:spacing w:before="154" w:line="279" w:lineRule="auto"/>
        <w:ind w:left="7" w:right="150" w:hanging="2"/>
        <w:rPr>
          <w:rFonts w:ascii="宋体" w:hAnsi="宋体" w:eastAsia="宋体" w:cs="宋体"/>
          <w:sz w:val="24"/>
          <w:szCs w:val="24"/>
        </w:rPr>
      </w:pPr>
      <w:r>
        <w:rPr>
          <w:rFonts w:ascii="Times New Roman" w:hAnsi="Times New Roman" w:eastAsia="Times New Roman" w:cs="Times New Roman"/>
          <w:sz w:val="24"/>
          <w:szCs w:val="24"/>
        </w:rPr>
        <w:t xml:space="preserve">7.1.3    </w:t>
      </w:r>
      <w:r>
        <w:rPr>
          <w:rFonts w:ascii="宋体" w:hAnsi="宋体" w:eastAsia="宋体" w:cs="宋体"/>
          <w:sz w:val="24"/>
          <w:szCs w:val="24"/>
        </w:rPr>
        <w:t>纵向受力的普通钢筋及预应力钢筋，其轻骨料混凝土保</w:t>
      </w:r>
      <w:r>
        <w:rPr>
          <w:rFonts w:ascii="宋体" w:hAnsi="宋体" w:eastAsia="宋体" w:cs="宋体"/>
          <w:spacing w:val="-1"/>
          <w:sz w:val="24"/>
          <w:szCs w:val="24"/>
        </w:rPr>
        <w:t>护层厚度（钢筋外边缘</w:t>
      </w:r>
      <w:r>
        <w:rPr>
          <w:rFonts w:ascii="宋体" w:hAnsi="宋体" w:eastAsia="宋体" w:cs="宋体"/>
          <w:sz w:val="24"/>
          <w:szCs w:val="24"/>
        </w:rPr>
        <w:t xml:space="preserve"> </w:t>
      </w:r>
      <w:r>
        <w:rPr>
          <w:rFonts w:ascii="宋体" w:hAnsi="宋体" w:eastAsia="宋体" w:cs="宋体"/>
          <w:spacing w:val="-4"/>
          <w:sz w:val="24"/>
          <w:szCs w:val="24"/>
        </w:rPr>
        <w:t>至混凝土表面的距离）应符合下列规定：</w:t>
      </w:r>
    </w:p>
    <w:p w14:paraId="556666A1">
      <w:pPr>
        <w:spacing w:before="154" w:line="220" w:lineRule="auto"/>
        <w:ind w:left="504"/>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陶粒混凝土保护层厚度应与普通混凝土相同。</w:t>
      </w:r>
    </w:p>
    <w:p w14:paraId="73159B58">
      <w:pPr>
        <w:spacing w:before="153" w:line="220" w:lineRule="auto"/>
        <w:ind w:left="481"/>
        <w:rPr>
          <w:rFonts w:ascii="宋体" w:hAnsi="宋体" w:eastAsia="宋体" w:cs="宋体"/>
          <w:sz w:val="24"/>
          <w:szCs w:val="24"/>
        </w:rPr>
      </w:pPr>
      <w:r>
        <w:rPr>
          <w:rFonts w:ascii="Times New Roman" w:hAnsi="Times New Roman" w:eastAsia="Times New Roman" w:cs="Times New Roman"/>
          <w:spacing w:val="-4"/>
          <w:sz w:val="24"/>
          <w:szCs w:val="24"/>
        </w:rPr>
        <w:t>2</w:t>
      </w:r>
      <w:r>
        <w:rPr>
          <w:rFonts w:ascii="Times New Roman" w:hAnsi="Times New Roman" w:eastAsia="Times New Roman" w:cs="Times New Roman"/>
          <w:spacing w:val="31"/>
          <w:sz w:val="24"/>
          <w:szCs w:val="24"/>
        </w:rPr>
        <w:t xml:space="preserve">  </w:t>
      </w:r>
      <w:r>
        <w:rPr>
          <w:rFonts w:ascii="宋体" w:hAnsi="宋体" w:eastAsia="宋体" w:cs="宋体"/>
          <w:spacing w:val="-4"/>
          <w:sz w:val="24"/>
          <w:szCs w:val="24"/>
        </w:rPr>
        <w:t>自燃煤矸石混凝土和火山渣混凝土的保护层厚度应符合下列要求：</w:t>
      </w:r>
    </w:p>
    <w:p w14:paraId="065280E1">
      <w:pPr>
        <w:spacing w:before="155" w:line="220" w:lineRule="auto"/>
        <w:ind w:left="504"/>
        <w:rPr>
          <w:rFonts w:ascii="宋体" w:hAnsi="宋体" w:eastAsia="宋体" w:cs="宋体"/>
          <w:sz w:val="24"/>
          <w:szCs w:val="24"/>
        </w:rPr>
      </w:pPr>
      <w:r>
        <w:rPr>
          <w:rFonts w:ascii="Times New Roman" w:hAnsi="Times New Roman" w:eastAsia="Times New Roman" w:cs="Times New Roman"/>
          <w:spacing w:val="-5"/>
          <w:sz w:val="24"/>
          <w:szCs w:val="24"/>
        </w:rPr>
        <w:t>1</w:t>
      </w:r>
      <w:r>
        <w:rPr>
          <w:rFonts w:ascii="宋体" w:hAnsi="宋体" w:eastAsia="宋体" w:cs="宋体"/>
          <w:spacing w:val="-5"/>
          <w:sz w:val="24"/>
          <w:szCs w:val="24"/>
        </w:rPr>
        <w:t>）一类环境下应与普通混凝土相同；</w:t>
      </w:r>
    </w:p>
    <w:p w14:paraId="6A33971C">
      <w:pPr>
        <w:spacing w:before="154" w:line="220" w:lineRule="auto"/>
        <w:ind w:left="481"/>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）二类、三类环境下，保护层最小厚度应按普通混凝土的要求增加</w:t>
      </w:r>
      <w:r>
        <w:rPr>
          <w:rFonts w:ascii="宋体" w:hAnsi="宋体" w:eastAsia="宋体" w:cs="宋体"/>
          <w:spacing w:val="-30"/>
          <w:sz w:val="24"/>
          <w:szCs w:val="24"/>
        </w:rPr>
        <w:t xml:space="preserve"> </w:t>
      </w:r>
      <w:r>
        <w:rPr>
          <w:rFonts w:ascii="Times New Roman" w:hAnsi="Times New Roman" w:eastAsia="Times New Roman" w:cs="Times New Roman"/>
          <w:spacing w:val="-1"/>
          <w:sz w:val="24"/>
          <w:szCs w:val="24"/>
        </w:rPr>
        <w:t>5m</w:t>
      </w:r>
      <w:r>
        <w:rPr>
          <w:rFonts w:ascii="Times New Roman" w:hAnsi="Times New Roman" w:eastAsia="Times New Roman" w:cs="Times New Roman"/>
          <w:spacing w:val="-2"/>
          <w:sz w:val="24"/>
          <w:szCs w:val="24"/>
        </w:rPr>
        <w:t>m</w:t>
      </w:r>
      <w:r>
        <w:rPr>
          <w:rFonts w:ascii="宋体" w:hAnsi="宋体" w:eastAsia="宋体" w:cs="宋体"/>
          <w:spacing w:val="-2"/>
          <w:sz w:val="24"/>
          <w:szCs w:val="24"/>
        </w:rPr>
        <w:t>。</w:t>
      </w:r>
    </w:p>
    <w:p w14:paraId="5CBA37AB">
      <w:pPr>
        <w:spacing w:before="154" w:line="299" w:lineRule="auto"/>
        <w:ind w:right="150" w:firstLine="4"/>
        <w:rPr>
          <w:rFonts w:ascii="宋体" w:hAnsi="宋体" w:eastAsia="宋体" w:cs="宋体"/>
          <w:sz w:val="24"/>
          <w:szCs w:val="24"/>
        </w:rPr>
      </w:pPr>
      <w:r>
        <w:rPr>
          <w:rFonts w:ascii="Times New Roman" w:hAnsi="Times New Roman" w:eastAsia="Times New Roman" w:cs="Times New Roman"/>
          <w:sz w:val="24"/>
          <w:szCs w:val="24"/>
        </w:rPr>
        <w:t xml:space="preserve">7.1.7    </w:t>
      </w:r>
      <w:r>
        <w:rPr>
          <w:rFonts w:ascii="宋体" w:hAnsi="宋体" w:eastAsia="宋体" w:cs="宋体"/>
          <w:sz w:val="24"/>
          <w:szCs w:val="24"/>
        </w:rPr>
        <w:t>钢筋轻骨料混凝土结构构件中纵向受力钢筋的最小配筋</w:t>
      </w:r>
      <w:r>
        <w:rPr>
          <w:rFonts w:ascii="宋体" w:hAnsi="宋体" w:eastAsia="宋体" w:cs="宋体"/>
          <w:spacing w:val="-1"/>
          <w:sz w:val="24"/>
          <w:szCs w:val="24"/>
        </w:rPr>
        <w:t>率应按国家标准《混凝</w:t>
      </w:r>
      <w:r>
        <w:rPr>
          <w:rFonts w:ascii="宋体" w:hAnsi="宋体" w:eastAsia="宋体" w:cs="宋体"/>
          <w:sz w:val="24"/>
          <w:szCs w:val="24"/>
        </w:rPr>
        <w:t xml:space="preserve"> 土结构设计规范》</w:t>
      </w:r>
      <w:r>
        <w:rPr>
          <w:rFonts w:ascii="Times New Roman" w:hAnsi="Times New Roman" w:eastAsia="Times New Roman" w:cs="Times New Roman"/>
          <w:sz w:val="24"/>
          <w:szCs w:val="24"/>
        </w:rPr>
        <w:t xml:space="preserve">GB50010-2002 </w:t>
      </w:r>
      <w:r>
        <w:rPr>
          <w:rFonts w:ascii="宋体" w:hAnsi="宋体" w:eastAsia="宋体" w:cs="宋体"/>
          <w:sz w:val="24"/>
          <w:szCs w:val="24"/>
        </w:rPr>
        <w:t>第</w:t>
      </w:r>
      <w:r>
        <w:rPr>
          <w:rFonts w:ascii="宋体" w:hAnsi="宋体" w:eastAsia="宋体" w:cs="宋体"/>
          <w:spacing w:val="-51"/>
          <w:sz w:val="24"/>
          <w:szCs w:val="24"/>
        </w:rPr>
        <w:t xml:space="preserve"> </w:t>
      </w:r>
      <w:r>
        <w:rPr>
          <w:rFonts w:ascii="Times New Roman" w:hAnsi="Times New Roman" w:eastAsia="Times New Roman" w:cs="Times New Roman"/>
          <w:sz w:val="24"/>
          <w:szCs w:val="24"/>
        </w:rPr>
        <w:t xml:space="preserve">9.5.1 </w:t>
      </w:r>
      <w:r>
        <w:rPr>
          <w:rFonts w:ascii="宋体" w:hAnsi="宋体" w:eastAsia="宋体" w:cs="宋体"/>
          <w:sz w:val="24"/>
          <w:szCs w:val="24"/>
        </w:rPr>
        <w:t>条的规定</w:t>
      </w:r>
      <w:r>
        <w:rPr>
          <w:rFonts w:ascii="宋体" w:hAnsi="宋体" w:eastAsia="宋体" w:cs="宋体"/>
          <w:spacing w:val="-1"/>
          <w:sz w:val="24"/>
          <w:szCs w:val="24"/>
        </w:rPr>
        <w:t>确定。当轻骨料混凝土强度等级为</w:t>
      </w:r>
      <w:r>
        <w:rPr>
          <w:rFonts w:ascii="宋体" w:hAnsi="宋体" w:eastAsia="宋体" w:cs="宋体"/>
          <w:sz w:val="24"/>
          <w:szCs w:val="24"/>
        </w:rPr>
        <w:t xml:space="preserve"> </w:t>
      </w:r>
      <w:r>
        <w:rPr>
          <w:rFonts w:ascii="Times New Roman" w:hAnsi="Times New Roman" w:eastAsia="Times New Roman" w:cs="Times New Roman"/>
          <w:sz w:val="24"/>
          <w:szCs w:val="24"/>
        </w:rPr>
        <w:t xml:space="preserve">LC50 </w:t>
      </w:r>
      <w:r>
        <w:rPr>
          <w:rFonts w:ascii="宋体" w:hAnsi="宋体" w:eastAsia="宋体" w:cs="宋体"/>
          <w:sz w:val="24"/>
          <w:szCs w:val="24"/>
        </w:rPr>
        <w:t>及以上时，受压构件全部纵向钢筋最小配筋</w:t>
      </w:r>
      <w:r>
        <w:rPr>
          <w:rFonts w:ascii="宋体" w:hAnsi="宋体" w:eastAsia="宋体" w:cs="宋体"/>
          <w:spacing w:val="-1"/>
          <w:sz w:val="24"/>
          <w:szCs w:val="24"/>
        </w:rPr>
        <w:t>率应按上述规定增大</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0.1%</w:t>
      </w:r>
      <w:r>
        <w:rPr>
          <w:rFonts w:ascii="宋体" w:hAnsi="宋体" w:eastAsia="宋体" w:cs="宋体"/>
          <w:spacing w:val="-1"/>
          <w:sz w:val="24"/>
          <w:szCs w:val="24"/>
        </w:rPr>
        <w:t>。</w:t>
      </w:r>
    </w:p>
    <w:p w14:paraId="7F835F9B">
      <w:pPr>
        <w:spacing w:before="154" w:line="279" w:lineRule="auto"/>
        <w:ind w:left="7" w:right="150" w:firstLine="3"/>
        <w:rPr>
          <w:rFonts w:ascii="宋体" w:hAnsi="宋体" w:eastAsia="宋体" w:cs="宋体"/>
          <w:sz w:val="24"/>
          <w:szCs w:val="24"/>
        </w:rPr>
      </w:pPr>
      <w:r>
        <w:rPr>
          <w:rFonts w:ascii="Times New Roman" w:hAnsi="Times New Roman" w:eastAsia="Times New Roman" w:cs="Times New Roman"/>
          <w:sz w:val="24"/>
          <w:szCs w:val="24"/>
        </w:rPr>
        <w:t xml:space="preserve">8.1.3    </w:t>
      </w:r>
      <w:r>
        <w:rPr>
          <w:rFonts w:ascii="宋体" w:hAnsi="宋体" w:eastAsia="宋体" w:cs="宋体"/>
          <w:sz w:val="24"/>
          <w:szCs w:val="24"/>
        </w:rPr>
        <w:t>现浇轻骨料混凝土房屋应根据设防烈度、</w:t>
      </w:r>
      <w:r>
        <w:rPr>
          <w:rFonts w:ascii="宋体" w:hAnsi="宋体" w:eastAsia="宋体" w:cs="宋体"/>
          <w:spacing w:val="-1"/>
          <w:sz w:val="24"/>
          <w:szCs w:val="24"/>
        </w:rPr>
        <w:t>结构类型、房屋高度采用不同的抗震</w:t>
      </w:r>
      <w:r>
        <w:rPr>
          <w:rFonts w:ascii="宋体" w:hAnsi="宋体" w:eastAsia="宋体" w:cs="宋体"/>
          <w:sz w:val="24"/>
          <w:szCs w:val="24"/>
        </w:rPr>
        <w:t xml:space="preserve"> </w:t>
      </w:r>
      <w:r>
        <w:rPr>
          <w:rFonts w:ascii="宋体" w:hAnsi="宋体" w:eastAsia="宋体" w:cs="宋体"/>
          <w:spacing w:val="-3"/>
          <w:sz w:val="24"/>
          <w:szCs w:val="24"/>
        </w:rPr>
        <w:t>等级，并应符合相应的计算和构造措施要求。</w:t>
      </w:r>
    </w:p>
    <w:p w14:paraId="43F5A407">
      <w:pPr>
        <w:spacing w:before="156" w:line="338" w:lineRule="auto"/>
        <w:ind w:left="7" w:right="30" w:firstLine="482"/>
        <w:rPr>
          <w:rFonts w:ascii="宋体" w:hAnsi="宋体" w:eastAsia="宋体" w:cs="宋体"/>
          <w:sz w:val="24"/>
          <w:szCs w:val="24"/>
        </w:rPr>
      </w:pPr>
      <w:r>
        <w:rPr>
          <w:rFonts w:ascii="宋体" w:hAnsi="宋体" w:eastAsia="宋体" w:cs="宋体"/>
          <w:spacing w:val="-1"/>
          <w:sz w:val="24"/>
          <w:szCs w:val="24"/>
        </w:rPr>
        <w:t>丙类建筑的抗震等级应按表</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 xml:space="preserve">8.1.3 </w:t>
      </w:r>
      <w:r>
        <w:rPr>
          <w:rFonts w:ascii="宋体" w:hAnsi="宋体" w:eastAsia="宋体" w:cs="宋体"/>
          <w:spacing w:val="-1"/>
          <w:sz w:val="24"/>
          <w:szCs w:val="24"/>
        </w:rPr>
        <w:t>确定；其他设防类别的建筑，应按国家标准《建</w:t>
      </w:r>
      <w:r>
        <w:rPr>
          <w:rFonts w:ascii="宋体" w:hAnsi="宋体" w:eastAsia="宋体" w:cs="宋体"/>
          <w:sz w:val="24"/>
          <w:szCs w:val="24"/>
        </w:rPr>
        <w:t xml:space="preserve"> </w:t>
      </w:r>
      <w:r>
        <w:rPr>
          <w:rFonts w:ascii="宋体" w:hAnsi="宋体" w:eastAsia="宋体" w:cs="宋体"/>
          <w:spacing w:val="-1"/>
          <w:sz w:val="24"/>
          <w:szCs w:val="24"/>
        </w:rPr>
        <w:t>筑抗震设计规范》</w:t>
      </w:r>
      <w:r>
        <w:rPr>
          <w:rFonts w:ascii="Times New Roman" w:hAnsi="Times New Roman" w:eastAsia="Times New Roman" w:cs="Times New Roman"/>
          <w:spacing w:val="-1"/>
          <w:sz w:val="24"/>
          <w:szCs w:val="24"/>
        </w:rPr>
        <w:t xml:space="preserve">GB50011-2001 </w:t>
      </w:r>
      <w:r>
        <w:rPr>
          <w:rFonts w:ascii="宋体" w:hAnsi="宋体" w:eastAsia="宋体" w:cs="宋体"/>
          <w:spacing w:val="-1"/>
          <w:sz w:val="24"/>
          <w:szCs w:val="24"/>
        </w:rPr>
        <w:t>第</w:t>
      </w:r>
      <w:r>
        <w:rPr>
          <w:rFonts w:ascii="宋体" w:hAnsi="宋体" w:eastAsia="宋体" w:cs="宋体"/>
          <w:spacing w:val="-44"/>
          <w:sz w:val="24"/>
          <w:szCs w:val="24"/>
        </w:rPr>
        <w:t xml:space="preserve"> </w:t>
      </w:r>
      <w:r>
        <w:rPr>
          <w:rFonts w:ascii="Times New Roman" w:hAnsi="Times New Roman" w:eastAsia="Times New Roman" w:cs="Times New Roman"/>
          <w:spacing w:val="-1"/>
          <w:sz w:val="24"/>
          <w:szCs w:val="24"/>
        </w:rPr>
        <w:t xml:space="preserve">3.1.3 </w:t>
      </w:r>
      <w:r>
        <w:rPr>
          <w:rFonts w:ascii="宋体" w:hAnsi="宋体" w:eastAsia="宋体" w:cs="宋体"/>
          <w:spacing w:val="-1"/>
          <w:sz w:val="24"/>
          <w:szCs w:val="24"/>
        </w:rPr>
        <w:t>条调整设防烈度，再按表</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 xml:space="preserve">8.1.3 </w:t>
      </w:r>
      <w:r>
        <w:rPr>
          <w:rFonts w:ascii="宋体" w:hAnsi="宋体" w:eastAsia="宋体" w:cs="宋体"/>
          <w:spacing w:val="-1"/>
          <w:sz w:val="24"/>
          <w:szCs w:val="24"/>
        </w:rPr>
        <w:t>确定抗震等</w:t>
      </w:r>
    </w:p>
    <w:p w14:paraId="6F6B4205">
      <w:pPr>
        <w:spacing w:before="1" w:line="221" w:lineRule="auto"/>
        <w:ind w:left="9"/>
        <w:rPr>
          <w:rFonts w:ascii="宋体" w:hAnsi="宋体" w:eastAsia="宋体" w:cs="宋体"/>
          <w:sz w:val="24"/>
          <w:szCs w:val="24"/>
        </w:rPr>
      </w:pPr>
      <w:r>
        <w:rPr>
          <w:rFonts w:ascii="宋体" w:hAnsi="宋体" w:eastAsia="宋体" w:cs="宋体"/>
          <w:spacing w:val="-12"/>
          <w:sz w:val="24"/>
          <w:szCs w:val="24"/>
        </w:rPr>
        <w:t>级。</w:t>
      </w:r>
    </w:p>
    <w:p w14:paraId="71966565">
      <w:pPr>
        <w:spacing w:before="177" w:line="220" w:lineRule="auto"/>
        <w:ind w:left="2833"/>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37"/>
          <w:sz w:val="21"/>
          <w:szCs w:val="21"/>
        </w:rPr>
        <w:t xml:space="preserve"> </w:t>
      </w:r>
      <w:r>
        <w:rPr>
          <w:rFonts w:ascii="Times New Roman" w:hAnsi="Times New Roman" w:eastAsia="Times New Roman" w:cs="Times New Roman"/>
          <w:spacing w:val="-1"/>
          <w:sz w:val="21"/>
          <w:szCs w:val="21"/>
        </w:rPr>
        <w:t xml:space="preserve">8.1.3    </w:t>
      </w:r>
      <w:r>
        <w:rPr>
          <w:rFonts w:ascii="宋体" w:hAnsi="宋体" w:eastAsia="宋体" w:cs="宋体"/>
          <w:spacing w:val="-1"/>
          <w:sz w:val="21"/>
          <w:szCs w:val="21"/>
        </w:rPr>
        <w:t>现浇轻骨料混凝土房屋抗震等级</w:t>
      </w:r>
    </w:p>
    <w:p w14:paraId="5C0DFF0E">
      <w:pPr>
        <w:spacing w:line="19"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9"/>
        <w:gridCol w:w="2214"/>
        <w:gridCol w:w="884"/>
        <w:gridCol w:w="945"/>
        <w:gridCol w:w="854"/>
        <w:gridCol w:w="855"/>
        <w:gridCol w:w="869"/>
        <w:gridCol w:w="836"/>
      </w:tblGrid>
      <w:tr w14:paraId="72F55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283" w:type="dxa"/>
            <w:gridSpan w:val="2"/>
            <w:vMerge w:val="restart"/>
            <w:tcBorders>
              <w:bottom w:val="nil"/>
            </w:tcBorders>
            <w:vAlign w:val="top"/>
          </w:tcPr>
          <w:p w14:paraId="649B3FD3">
            <w:pPr>
              <w:pStyle w:val="6"/>
              <w:spacing w:before="296" w:line="220" w:lineRule="auto"/>
              <w:ind w:left="1232"/>
            </w:pPr>
            <w:r>
              <w:rPr>
                <w:spacing w:val="-3"/>
              </w:rPr>
              <w:t>结构类型</w:t>
            </w:r>
          </w:p>
        </w:tc>
        <w:tc>
          <w:tcPr>
            <w:tcW w:w="5243" w:type="dxa"/>
            <w:gridSpan w:val="6"/>
            <w:vAlign w:val="top"/>
          </w:tcPr>
          <w:p w14:paraId="0ECE6E2A">
            <w:pPr>
              <w:pStyle w:val="6"/>
              <w:spacing w:before="112" w:line="216" w:lineRule="auto"/>
              <w:ind w:left="2208"/>
            </w:pPr>
            <w:r>
              <w:rPr>
                <w:spacing w:val="-3"/>
              </w:rPr>
              <w:t>设防烈度</w:t>
            </w:r>
          </w:p>
        </w:tc>
      </w:tr>
      <w:tr w14:paraId="54E16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3283" w:type="dxa"/>
            <w:gridSpan w:val="2"/>
            <w:vMerge w:val="continue"/>
            <w:tcBorders>
              <w:top w:val="nil"/>
            </w:tcBorders>
            <w:vAlign w:val="top"/>
          </w:tcPr>
          <w:p w14:paraId="38348109">
            <w:pPr>
              <w:rPr>
                <w:rFonts w:ascii="Arial"/>
                <w:sz w:val="21"/>
              </w:rPr>
            </w:pPr>
          </w:p>
        </w:tc>
        <w:tc>
          <w:tcPr>
            <w:tcW w:w="1829" w:type="dxa"/>
            <w:gridSpan w:val="2"/>
            <w:vAlign w:val="top"/>
          </w:tcPr>
          <w:p w14:paraId="66E45CA8">
            <w:pPr>
              <w:spacing w:before="147" w:line="186" w:lineRule="auto"/>
              <w:ind w:left="868"/>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709" w:type="dxa"/>
            <w:gridSpan w:val="2"/>
            <w:vAlign w:val="top"/>
          </w:tcPr>
          <w:p w14:paraId="382356C1">
            <w:pPr>
              <w:spacing w:before="150" w:line="183" w:lineRule="auto"/>
              <w:ind w:left="807"/>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705" w:type="dxa"/>
            <w:gridSpan w:val="2"/>
            <w:vAlign w:val="top"/>
          </w:tcPr>
          <w:p w14:paraId="65657C84">
            <w:pPr>
              <w:spacing w:before="147" w:line="186" w:lineRule="auto"/>
              <w:ind w:left="809"/>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r>
      <w:tr w14:paraId="00F6D9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9" w:type="dxa"/>
            <w:vMerge w:val="restart"/>
            <w:tcBorders>
              <w:bottom w:val="nil"/>
            </w:tcBorders>
            <w:vAlign w:val="top"/>
          </w:tcPr>
          <w:p w14:paraId="4238D7CA">
            <w:pPr>
              <w:spacing w:line="408" w:lineRule="auto"/>
              <w:rPr>
                <w:rFonts w:ascii="Arial"/>
                <w:sz w:val="21"/>
              </w:rPr>
            </w:pPr>
          </w:p>
          <w:p w14:paraId="2A1CCCB7">
            <w:pPr>
              <w:pStyle w:val="6"/>
              <w:spacing w:before="69" w:line="220" w:lineRule="auto"/>
              <w:ind w:left="118"/>
            </w:pPr>
            <w:r>
              <w:rPr>
                <w:spacing w:val="-2"/>
              </w:rPr>
              <w:t>框架结构</w:t>
            </w:r>
          </w:p>
        </w:tc>
        <w:tc>
          <w:tcPr>
            <w:tcW w:w="2214" w:type="dxa"/>
            <w:vAlign w:val="top"/>
          </w:tcPr>
          <w:p w14:paraId="0E321E1B">
            <w:pPr>
              <w:pStyle w:val="6"/>
              <w:spacing w:before="110" w:line="215" w:lineRule="auto"/>
              <w:ind w:left="616"/>
            </w:pPr>
            <w:r>
              <w:rPr>
                <w:spacing w:val="-3"/>
              </w:rPr>
              <w:t>高度（</w:t>
            </w:r>
            <w:r>
              <w:rPr>
                <w:rFonts w:ascii="Times New Roman" w:hAnsi="Times New Roman" w:eastAsia="Times New Roman" w:cs="Times New Roman"/>
                <w:spacing w:val="-3"/>
              </w:rPr>
              <w:t>m</w:t>
            </w:r>
            <w:r>
              <w:rPr>
                <w:spacing w:val="-3"/>
              </w:rPr>
              <w:t>）</w:t>
            </w:r>
          </w:p>
        </w:tc>
        <w:tc>
          <w:tcPr>
            <w:tcW w:w="884" w:type="dxa"/>
            <w:vAlign w:val="top"/>
          </w:tcPr>
          <w:p w14:paraId="4573126B">
            <w:pPr>
              <w:pStyle w:val="6"/>
              <w:spacing w:before="110" w:line="215" w:lineRule="auto"/>
              <w:ind w:left="250"/>
              <w:rPr>
                <w:rFonts w:ascii="Times New Roman" w:hAnsi="Times New Roman" w:eastAsia="Times New Roman" w:cs="Times New Roman"/>
              </w:rPr>
            </w:pPr>
            <w:r>
              <w:rPr>
                <w:spacing w:val="-8"/>
              </w:rPr>
              <w:t>≤</w:t>
            </w:r>
            <w:r>
              <w:rPr>
                <w:rFonts w:ascii="Times New Roman" w:hAnsi="Times New Roman" w:eastAsia="Times New Roman" w:cs="Times New Roman"/>
                <w:spacing w:val="-8"/>
              </w:rPr>
              <w:t>25</w:t>
            </w:r>
          </w:p>
        </w:tc>
        <w:tc>
          <w:tcPr>
            <w:tcW w:w="945" w:type="dxa"/>
            <w:vAlign w:val="top"/>
          </w:tcPr>
          <w:p w14:paraId="03295CE7">
            <w:pPr>
              <w:pStyle w:val="6"/>
              <w:spacing w:before="110" w:line="215" w:lineRule="auto"/>
              <w:ind w:left="330"/>
              <w:rPr>
                <w:rFonts w:ascii="Times New Roman" w:hAnsi="Times New Roman" w:eastAsia="Times New Roman" w:cs="Times New Roman"/>
              </w:rPr>
            </w:pPr>
            <w:r>
              <w:rPr>
                <w:spacing w:val="-23"/>
              </w:rPr>
              <w:t>﹥</w:t>
            </w:r>
            <w:r>
              <w:rPr>
                <w:rFonts w:ascii="Times New Roman" w:hAnsi="Times New Roman" w:eastAsia="Times New Roman" w:cs="Times New Roman"/>
                <w:spacing w:val="-23"/>
              </w:rPr>
              <w:t>25</w:t>
            </w:r>
          </w:p>
        </w:tc>
        <w:tc>
          <w:tcPr>
            <w:tcW w:w="854" w:type="dxa"/>
            <w:vAlign w:val="top"/>
          </w:tcPr>
          <w:p w14:paraId="2ABCB1F1">
            <w:pPr>
              <w:pStyle w:val="6"/>
              <w:spacing w:before="110" w:line="215" w:lineRule="auto"/>
              <w:ind w:left="237"/>
              <w:rPr>
                <w:rFonts w:ascii="Times New Roman" w:hAnsi="Times New Roman" w:eastAsia="Times New Roman" w:cs="Times New Roman"/>
              </w:rPr>
            </w:pPr>
            <w:r>
              <w:rPr>
                <w:spacing w:val="-8"/>
              </w:rPr>
              <w:t>≤</w:t>
            </w:r>
            <w:r>
              <w:rPr>
                <w:rFonts w:ascii="Times New Roman" w:hAnsi="Times New Roman" w:eastAsia="Times New Roman" w:cs="Times New Roman"/>
                <w:spacing w:val="-8"/>
              </w:rPr>
              <w:t>25</w:t>
            </w:r>
          </w:p>
        </w:tc>
        <w:tc>
          <w:tcPr>
            <w:tcW w:w="855" w:type="dxa"/>
            <w:vAlign w:val="top"/>
          </w:tcPr>
          <w:p w14:paraId="4D8052E2">
            <w:pPr>
              <w:pStyle w:val="6"/>
              <w:spacing w:before="110" w:line="215" w:lineRule="auto"/>
              <w:ind w:left="287"/>
              <w:rPr>
                <w:rFonts w:ascii="Times New Roman" w:hAnsi="Times New Roman" w:eastAsia="Times New Roman" w:cs="Times New Roman"/>
              </w:rPr>
            </w:pPr>
            <w:r>
              <w:rPr>
                <w:spacing w:val="-23"/>
              </w:rPr>
              <w:t>﹥</w:t>
            </w:r>
            <w:r>
              <w:rPr>
                <w:rFonts w:ascii="Times New Roman" w:hAnsi="Times New Roman" w:eastAsia="Times New Roman" w:cs="Times New Roman"/>
                <w:spacing w:val="-23"/>
              </w:rPr>
              <w:t>25</w:t>
            </w:r>
          </w:p>
        </w:tc>
        <w:tc>
          <w:tcPr>
            <w:tcW w:w="869" w:type="dxa"/>
            <w:vAlign w:val="top"/>
          </w:tcPr>
          <w:p w14:paraId="7013E990">
            <w:pPr>
              <w:pStyle w:val="6"/>
              <w:spacing w:before="110" w:line="215" w:lineRule="auto"/>
              <w:ind w:left="245"/>
              <w:rPr>
                <w:rFonts w:ascii="Times New Roman" w:hAnsi="Times New Roman" w:eastAsia="Times New Roman" w:cs="Times New Roman"/>
              </w:rPr>
            </w:pPr>
            <w:r>
              <w:rPr>
                <w:spacing w:val="-8"/>
              </w:rPr>
              <w:t>≤</w:t>
            </w:r>
            <w:r>
              <w:rPr>
                <w:rFonts w:ascii="Times New Roman" w:hAnsi="Times New Roman" w:eastAsia="Times New Roman" w:cs="Times New Roman"/>
                <w:spacing w:val="-8"/>
              </w:rPr>
              <w:t>25</w:t>
            </w:r>
          </w:p>
        </w:tc>
        <w:tc>
          <w:tcPr>
            <w:tcW w:w="836" w:type="dxa"/>
            <w:vAlign w:val="top"/>
          </w:tcPr>
          <w:p w14:paraId="1F01B05A">
            <w:pPr>
              <w:pStyle w:val="6"/>
              <w:spacing w:before="110" w:line="215" w:lineRule="auto"/>
              <w:ind w:left="275"/>
              <w:rPr>
                <w:rFonts w:ascii="Times New Roman" w:hAnsi="Times New Roman" w:eastAsia="Times New Roman" w:cs="Times New Roman"/>
              </w:rPr>
            </w:pPr>
            <w:r>
              <w:rPr>
                <w:spacing w:val="-23"/>
              </w:rPr>
              <w:t>﹥</w:t>
            </w:r>
            <w:r>
              <w:rPr>
                <w:rFonts w:ascii="Times New Roman" w:hAnsi="Times New Roman" w:eastAsia="Times New Roman" w:cs="Times New Roman"/>
                <w:spacing w:val="-23"/>
              </w:rPr>
              <w:t>25</w:t>
            </w:r>
          </w:p>
        </w:tc>
      </w:tr>
      <w:tr w14:paraId="13439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069" w:type="dxa"/>
            <w:vMerge w:val="continue"/>
            <w:tcBorders>
              <w:top w:val="nil"/>
              <w:bottom w:val="nil"/>
            </w:tcBorders>
            <w:vAlign w:val="top"/>
          </w:tcPr>
          <w:p w14:paraId="66CFDB4C">
            <w:pPr>
              <w:rPr>
                <w:rFonts w:ascii="Arial"/>
                <w:sz w:val="21"/>
              </w:rPr>
            </w:pPr>
          </w:p>
        </w:tc>
        <w:tc>
          <w:tcPr>
            <w:tcW w:w="2214" w:type="dxa"/>
            <w:vAlign w:val="top"/>
          </w:tcPr>
          <w:p w14:paraId="595F4716">
            <w:pPr>
              <w:pStyle w:val="6"/>
              <w:spacing w:before="110" w:line="213" w:lineRule="auto"/>
              <w:ind w:left="901"/>
            </w:pPr>
            <w:r>
              <w:rPr>
                <w:spacing w:val="-2"/>
              </w:rPr>
              <w:t>框架</w:t>
            </w:r>
          </w:p>
        </w:tc>
        <w:tc>
          <w:tcPr>
            <w:tcW w:w="884" w:type="dxa"/>
            <w:vAlign w:val="top"/>
          </w:tcPr>
          <w:p w14:paraId="73A19319">
            <w:pPr>
              <w:pStyle w:val="6"/>
              <w:spacing w:before="110" w:line="213" w:lineRule="auto"/>
              <w:ind w:left="361"/>
            </w:pPr>
            <w:r>
              <w:t>四</w:t>
            </w:r>
          </w:p>
        </w:tc>
        <w:tc>
          <w:tcPr>
            <w:tcW w:w="945" w:type="dxa"/>
            <w:vAlign w:val="top"/>
          </w:tcPr>
          <w:p w14:paraId="66A6C1D1">
            <w:pPr>
              <w:pStyle w:val="6"/>
              <w:spacing w:before="110" w:line="213" w:lineRule="auto"/>
              <w:ind w:left="373"/>
            </w:pPr>
            <w:r>
              <w:t>三</w:t>
            </w:r>
          </w:p>
        </w:tc>
        <w:tc>
          <w:tcPr>
            <w:tcW w:w="854" w:type="dxa"/>
            <w:vAlign w:val="top"/>
          </w:tcPr>
          <w:p w14:paraId="5F35B979">
            <w:pPr>
              <w:pStyle w:val="6"/>
              <w:spacing w:before="110" w:line="213" w:lineRule="auto"/>
              <w:ind w:left="327"/>
            </w:pPr>
            <w:r>
              <w:t>三</w:t>
            </w:r>
          </w:p>
        </w:tc>
        <w:tc>
          <w:tcPr>
            <w:tcW w:w="855" w:type="dxa"/>
            <w:vAlign w:val="top"/>
          </w:tcPr>
          <w:p w14:paraId="00E3E546">
            <w:pPr>
              <w:pStyle w:val="6"/>
              <w:spacing w:before="149" w:line="178" w:lineRule="auto"/>
              <w:ind w:left="332"/>
            </w:pPr>
            <w:r>
              <w:t>二</w:t>
            </w:r>
          </w:p>
        </w:tc>
        <w:tc>
          <w:tcPr>
            <w:tcW w:w="869" w:type="dxa"/>
            <w:vAlign w:val="top"/>
          </w:tcPr>
          <w:p w14:paraId="6240FB34">
            <w:pPr>
              <w:pStyle w:val="6"/>
              <w:spacing w:before="149" w:line="178" w:lineRule="auto"/>
              <w:ind w:left="339"/>
            </w:pPr>
            <w:r>
              <w:t>二</w:t>
            </w:r>
          </w:p>
        </w:tc>
        <w:tc>
          <w:tcPr>
            <w:tcW w:w="836" w:type="dxa"/>
            <w:vAlign w:val="top"/>
          </w:tcPr>
          <w:p w14:paraId="7E2FEEF1">
            <w:pPr>
              <w:pStyle w:val="6"/>
              <w:spacing w:before="188" w:line="163" w:lineRule="exact"/>
              <w:ind w:left="321"/>
            </w:pPr>
            <w:r>
              <w:rPr>
                <w:position w:val="-4"/>
              </w:rPr>
              <w:t>一</w:t>
            </w:r>
          </w:p>
        </w:tc>
      </w:tr>
      <w:tr w14:paraId="27AFF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069" w:type="dxa"/>
            <w:vMerge w:val="continue"/>
            <w:tcBorders>
              <w:top w:val="nil"/>
            </w:tcBorders>
            <w:vAlign w:val="top"/>
          </w:tcPr>
          <w:p w14:paraId="3F8178E0">
            <w:pPr>
              <w:rPr>
                <w:rFonts w:ascii="Arial"/>
                <w:sz w:val="21"/>
              </w:rPr>
            </w:pPr>
          </w:p>
        </w:tc>
        <w:tc>
          <w:tcPr>
            <w:tcW w:w="2214" w:type="dxa"/>
            <w:vAlign w:val="top"/>
          </w:tcPr>
          <w:p w14:paraId="77EE553A">
            <w:pPr>
              <w:pStyle w:val="6"/>
              <w:spacing w:before="112" w:line="218" w:lineRule="auto"/>
              <w:ind w:left="379"/>
            </w:pPr>
            <w:r>
              <w:rPr>
                <w:spacing w:val="-2"/>
              </w:rPr>
              <w:t>大跨度公共建筑</w:t>
            </w:r>
          </w:p>
        </w:tc>
        <w:tc>
          <w:tcPr>
            <w:tcW w:w="1829" w:type="dxa"/>
            <w:gridSpan w:val="2"/>
            <w:vAlign w:val="top"/>
          </w:tcPr>
          <w:p w14:paraId="47BC7CBF">
            <w:pPr>
              <w:pStyle w:val="6"/>
              <w:spacing w:before="112" w:line="218" w:lineRule="auto"/>
              <w:ind w:left="814"/>
            </w:pPr>
            <w:r>
              <w:t>三</w:t>
            </w:r>
          </w:p>
        </w:tc>
        <w:tc>
          <w:tcPr>
            <w:tcW w:w="1709" w:type="dxa"/>
            <w:gridSpan w:val="2"/>
            <w:vAlign w:val="top"/>
          </w:tcPr>
          <w:p w14:paraId="12F9F998">
            <w:pPr>
              <w:pStyle w:val="6"/>
              <w:spacing w:before="150" w:line="178" w:lineRule="auto"/>
              <w:ind w:left="758"/>
            </w:pPr>
            <w:r>
              <w:t>二</w:t>
            </w:r>
          </w:p>
        </w:tc>
        <w:tc>
          <w:tcPr>
            <w:tcW w:w="1705" w:type="dxa"/>
            <w:gridSpan w:val="2"/>
            <w:vAlign w:val="top"/>
          </w:tcPr>
          <w:p w14:paraId="3EB3A42D">
            <w:pPr>
              <w:pStyle w:val="6"/>
              <w:spacing w:before="190" w:line="163" w:lineRule="exact"/>
              <w:ind w:left="755"/>
            </w:pPr>
            <w:r>
              <w:rPr>
                <w:position w:val="-4"/>
              </w:rPr>
              <w:t>一</w:t>
            </w:r>
          </w:p>
        </w:tc>
      </w:tr>
    </w:tbl>
    <w:p w14:paraId="1BA2A44B">
      <w:pPr>
        <w:pStyle w:val="2"/>
      </w:pPr>
    </w:p>
    <w:p w14:paraId="5D3C3CD3">
      <w:pPr>
        <w:sectPr>
          <w:footerReference r:id="rId29" w:type="default"/>
          <w:pgSz w:w="11907" w:h="16839"/>
          <w:pgMar w:top="400" w:right="1459" w:bottom="743" w:left="1421" w:header="0" w:footer="582" w:gutter="0"/>
          <w:cols w:space="720" w:num="1"/>
        </w:sectPr>
      </w:pPr>
    </w:p>
    <w:p w14:paraId="40197DDF">
      <w:pPr>
        <w:spacing w:before="41"/>
      </w:pPr>
    </w:p>
    <w:p w14:paraId="078333B0">
      <w:pPr>
        <w:spacing w:before="41"/>
      </w:pPr>
    </w:p>
    <w:p w14:paraId="404BBBB2">
      <w:pPr>
        <w:spacing w:before="40"/>
      </w:pPr>
    </w:p>
    <w:tbl>
      <w:tblPr>
        <w:tblStyle w:val="5"/>
        <w:tblW w:w="8526" w:type="dxa"/>
        <w:tblInd w:w="2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9"/>
        <w:gridCol w:w="1119"/>
        <w:gridCol w:w="1095"/>
        <w:gridCol w:w="884"/>
        <w:gridCol w:w="945"/>
        <w:gridCol w:w="854"/>
        <w:gridCol w:w="855"/>
        <w:gridCol w:w="869"/>
        <w:gridCol w:w="836"/>
      </w:tblGrid>
      <w:tr w14:paraId="1539A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069" w:type="dxa"/>
            <w:vMerge w:val="restart"/>
            <w:tcBorders>
              <w:bottom w:val="nil"/>
            </w:tcBorders>
            <w:vAlign w:val="top"/>
          </w:tcPr>
          <w:p w14:paraId="50FB455A">
            <w:pPr>
              <w:pStyle w:val="6"/>
              <w:spacing w:before="302" w:line="220" w:lineRule="auto"/>
              <w:ind w:left="189"/>
            </w:pPr>
            <w:r>
              <w:rPr>
                <w:spacing w:val="-2"/>
              </w:rPr>
              <w:t>框架</w:t>
            </w:r>
            <w:r>
              <w:rPr>
                <w:rFonts w:ascii="Times New Roman" w:hAnsi="Times New Roman" w:eastAsia="Times New Roman" w:cs="Times New Roman"/>
                <w:spacing w:val="-2"/>
              </w:rPr>
              <w:t>-</w:t>
            </w:r>
            <w:r>
              <w:rPr>
                <w:spacing w:val="-2"/>
              </w:rPr>
              <w:t>剪</w:t>
            </w:r>
          </w:p>
          <w:p w14:paraId="29E9CC03">
            <w:pPr>
              <w:pStyle w:val="6"/>
              <w:spacing w:before="109" w:line="220" w:lineRule="auto"/>
              <w:ind w:left="122"/>
            </w:pPr>
            <w:r>
              <w:rPr>
                <w:spacing w:val="-3"/>
              </w:rPr>
              <w:t>力墙结构</w:t>
            </w:r>
          </w:p>
        </w:tc>
        <w:tc>
          <w:tcPr>
            <w:tcW w:w="2214" w:type="dxa"/>
            <w:gridSpan w:val="2"/>
            <w:vAlign w:val="top"/>
          </w:tcPr>
          <w:p w14:paraId="4AFCEEAA">
            <w:pPr>
              <w:pStyle w:val="6"/>
              <w:spacing w:before="113" w:line="217" w:lineRule="auto"/>
              <w:ind w:left="616"/>
            </w:pPr>
            <w:r>
              <w:rPr>
                <w:spacing w:val="-3"/>
              </w:rPr>
              <w:t>高度（</w:t>
            </w:r>
            <w:r>
              <w:rPr>
                <w:rFonts w:ascii="Times New Roman" w:hAnsi="Times New Roman" w:eastAsia="Times New Roman" w:cs="Times New Roman"/>
                <w:spacing w:val="-3"/>
              </w:rPr>
              <w:t>m</w:t>
            </w:r>
            <w:r>
              <w:rPr>
                <w:spacing w:val="-3"/>
              </w:rPr>
              <w:t>）</w:t>
            </w:r>
          </w:p>
        </w:tc>
        <w:tc>
          <w:tcPr>
            <w:tcW w:w="884" w:type="dxa"/>
            <w:vAlign w:val="top"/>
          </w:tcPr>
          <w:p w14:paraId="2525FAD7">
            <w:pPr>
              <w:pStyle w:val="6"/>
              <w:spacing w:before="113" w:line="217" w:lineRule="auto"/>
              <w:ind w:left="250"/>
              <w:rPr>
                <w:rFonts w:ascii="Times New Roman" w:hAnsi="Times New Roman" w:eastAsia="Times New Roman" w:cs="Times New Roman"/>
              </w:rPr>
            </w:pPr>
            <w:r>
              <w:rPr>
                <w:spacing w:val="-8"/>
              </w:rPr>
              <w:t>≤</w:t>
            </w:r>
            <w:r>
              <w:rPr>
                <w:rFonts w:ascii="Times New Roman" w:hAnsi="Times New Roman" w:eastAsia="Times New Roman" w:cs="Times New Roman"/>
                <w:spacing w:val="-8"/>
              </w:rPr>
              <w:t>50</w:t>
            </w:r>
          </w:p>
        </w:tc>
        <w:tc>
          <w:tcPr>
            <w:tcW w:w="945" w:type="dxa"/>
            <w:vAlign w:val="top"/>
          </w:tcPr>
          <w:p w14:paraId="4A014298">
            <w:pPr>
              <w:pStyle w:val="6"/>
              <w:spacing w:before="113" w:line="217" w:lineRule="auto"/>
              <w:ind w:left="331"/>
              <w:rPr>
                <w:rFonts w:ascii="Times New Roman" w:hAnsi="Times New Roman" w:eastAsia="Times New Roman" w:cs="Times New Roman"/>
              </w:rPr>
            </w:pPr>
            <w:r>
              <w:rPr>
                <w:spacing w:val="-23"/>
              </w:rPr>
              <w:t>﹥</w:t>
            </w:r>
            <w:r>
              <w:rPr>
                <w:rFonts w:ascii="Times New Roman" w:hAnsi="Times New Roman" w:eastAsia="Times New Roman" w:cs="Times New Roman"/>
                <w:spacing w:val="-23"/>
              </w:rPr>
              <w:t>50</w:t>
            </w:r>
          </w:p>
        </w:tc>
        <w:tc>
          <w:tcPr>
            <w:tcW w:w="854" w:type="dxa"/>
            <w:vAlign w:val="top"/>
          </w:tcPr>
          <w:p w14:paraId="0DF20E05">
            <w:pPr>
              <w:pStyle w:val="6"/>
              <w:spacing w:before="113" w:line="217" w:lineRule="auto"/>
              <w:ind w:left="237"/>
              <w:rPr>
                <w:rFonts w:ascii="Times New Roman" w:hAnsi="Times New Roman" w:eastAsia="Times New Roman" w:cs="Times New Roman"/>
              </w:rPr>
            </w:pPr>
            <w:r>
              <w:rPr>
                <w:spacing w:val="-8"/>
              </w:rPr>
              <w:t>≤</w:t>
            </w:r>
            <w:r>
              <w:rPr>
                <w:rFonts w:ascii="Times New Roman" w:hAnsi="Times New Roman" w:eastAsia="Times New Roman" w:cs="Times New Roman"/>
                <w:spacing w:val="-8"/>
              </w:rPr>
              <w:t>50</w:t>
            </w:r>
          </w:p>
        </w:tc>
        <w:tc>
          <w:tcPr>
            <w:tcW w:w="855" w:type="dxa"/>
            <w:vAlign w:val="top"/>
          </w:tcPr>
          <w:p w14:paraId="6A6A227C">
            <w:pPr>
              <w:pStyle w:val="6"/>
              <w:spacing w:before="113" w:line="217" w:lineRule="auto"/>
              <w:ind w:left="287"/>
              <w:rPr>
                <w:rFonts w:ascii="Times New Roman" w:hAnsi="Times New Roman" w:eastAsia="Times New Roman" w:cs="Times New Roman"/>
              </w:rPr>
            </w:pPr>
            <w:r>
              <w:rPr>
                <w:spacing w:val="-23"/>
              </w:rPr>
              <w:t>﹥</w:t>
            </w:r>
            <w:r>
              <w:rPr>
                <w:rFonts w:ascii="Times New Roman" w:hAnsi="Times New Roman" w:eastAsia="Times New Roman" w:cs="Times New Roman"/>
                <w:spacing w:val="-23"/>
              </w:rPr>
              <w:t>50</w:t>
            </w:r>
          </w:p>
        </w:tc>
        <w:tc>
          <w:tcPr>
            <w:tcW w:w="869" w:type="dxa"/>
            <w:vAlign w:val="top"/>
          </w:tcPr>
          <w:p w14:paraId="4C20318E">
            <w:pPr>
              <w:pStyle w:val="6"/>
              <w:spacing w:before="113" w:line="217" w:lineRule="auto"/>
              <w:ind w:left="245"/>
              <w:rPr>
                <w:rFonts w:ascii="Times New Roman" w:hAnsi="Times New Roman" w:eastAsia="Times New Roman" w:cs="Times New Roman"/>
              </w:rPr>
            </w:pPr>
            <w:r>
              <w:rPr>
                <w:spacing w:val="-8"/>
              </w:rPr>
              <w:t>≤</w:t>
            </w:r>
            <w:r>
              <w:rPr>
                <w:rFonts w:ascii="Times New Roman" w:hAnsi="Times New Roman" w:eastAsia="Times New Roman" w:cs="Times New Roman"/>
                <w:spacing w:val="-8"/>
              </w:rPr>
              <w:t>50</w:t>
            </w:r>
          </w:p>
        </w:tc>
        <w:tc>
          <w:tcPr>
            <w:tcW w:w="836" w:type="dxa"/>
            <w:vAlign w:val="top"/>
          </w:tcPr>
          <w:p w14:paraId="5A3B6F99">
            <w:pPr>
              <w:pStyle w:val="6"/>
              <w:spacing w:before="113" w:line="217" w:lineRule="auto"/>
              <w:ind w:left="276"/>
              <w:rPr>
                <w:rFonts w:ascii="Times New Roman" w:hAnsi="Times New Roman" w:eastAsia="Times New Roman" w:cs="Times New Roman"/>
              </w:rPr>
            </w:pPr>
            <w:r>
              <w:rPr>
                <w:spacing w:val="-23"/>
              </w:rPr>
              <w:t>﹥</w:t>
            </w:r>
            <w:r>
              <w:rPr>
                <w:rFonts w:ascii="Times New Roman" w:hAnsi="Times New Roman" w:eastAsia="Times New Roman" w:cs="Times New Roman"/>
                <w:spacing w:val="-23"/>
              </w:rPr>
              <w:t>50</w:t>
            </w:r>
          </w:p>
        </w:tc>
      </w:tr>
      <w:tr w14:paraId="1F6F7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69" w:type="dxa"/>
            <w:vMerge w:val="continue"/>
            <w:tcBorders>
              <w:top w:val="nil"/>
              <w:bottom w:val="nil"/>
            </w:tcBorders>
            <w:vAlign w:val="top"/>
          </w:tcPr>
          <w:p w14:paraId="1F9BB232">
            <w:pPr>
              <w:rPr>
                <w:rFonts w:ascii="Arial"/>
                <w:sz w:val="21"/>
              </w:rPr>
            </w:pPr>
          </w:p>
        </w:tc>
        <w:tc>
          <w:tcPr>
            <w:tcW w:w="2214" w:type="dxa"/>
            <w:gridSpan w:val="2"/>
            <w:vAlign w:val="top"/>
          </w:tcPr>
          <w:p w14:paraId="41CC02A2">
            <w:pPr>
              <w:pStyle w:val="6"/>
              <w:spacing w:before="108" w:line="216" w:lineRule="auto"/>
              <w:ind w:left="901"/>
            </w:pPr>
            <w:r>
              <w:rPr>
                <w:spacing w:val="-2"/>
              </w:rPr>
              <w:t>框架</w:t>
            </w:r>
          </w:p>
        </w:tc>
        <w:tc>
          <w:tcPr>
            <w:tcW w:w="884" w:type="dxa"/>
            <w:vAlign w:val="top"/>
          </w:tcPr>
          <w:p w14:paraId="666B833C">
            <w:pPr>
              <w:pStyle w:val="6"/>
              <w:spacing w:before="108" w:line="216" w:lineRule="auto"/>
              <w:ind w:left="361"/>
            </w:pPr>
            <w:r>
              <w:t>四</w:t>
            </w:r>
          </w:p>
        </w:tc>
        <w:tc>
          <w:tcPr>
            <w:tcW w:w="945" w:type="dxa"/>
            <w:vAlign w:val="top"/>
          </w:tcPr>
          <w:p w14:paraId="703502AA">
            <w:pPr>
              <w:pStyle w:val="6"/>
              <w:spacing w:before="108" w:line="216" w:lineRule="auto"/>
              <w:ind w:left="373"/>
            </w:pPr>
            <w:r>
              <w:t>三</w:t>
            </w:r>
          </w:p>
        </w:tc>
        <w:tc>
          <w:tcPr>
            <w:tcW w:w="854" w:type="dxa"/>
            <w:vAlign w:val="top"/>
          </w:tcPr>
          <w:p w14:paraId="3501F3E8">
            <w:pPr>
              <w:pStyle w:val="6"/>
              <w:spacing w:before="108" w:line="216" w:lineRule="auto"/>
              <w:ind w:left="327"/>
            </w:pPr>
            <w:r>
              <w:t>三</w:t>
            </w:r>
          </w:p>
        </w:tc>
        <w:tc>
          <w:tcPr>
            <w:tcW w:w="855" w:type="dxa"/>
            <w:vAlign w:val="top"/>
          </w:tcPr>
          <w:p w14:paraId="2910816D">
            <w:pPr>
              <w:pStyle w:val="6"/>
              <w:spacing w:before="146" w:line="178" w:lineRule="auto"/>
              <w:ind w:left="332"/>
            </w:pPr>
            <w:r>
              <w:t>二</w:t>
            </w:r>
          </w:p>
        </w:tc>
        <w:tc>
          <w:tcPr>
            <w:tcW w:w="869" w:type="dxa"/>
            <w:vAlign w:val="top"/>
          </w:tcPr>
          <w:p w14:paraId="33D9FC4A">
            <w:pPr>
              <w:pStyle w:val="6"/>
              <w:spacing w:before="146" w:line="178" w:lineRule="auto"/>
              <w:ind w:left="339"/>
            </w:pPr>
            <w:r>
              <w:t>二</w:t>
            </w:r>
          </w:p>
        </w:tc>
        <w:tc>
          <w:tcPr>
            <w:tcW w:w="836" w:type="dxa"/>
            <w:vAlign w:val="top"/>
          </w:tcPr>
          <w:p w14:paraId="3AA94DB7">
            <w:pPr>
              <w:pStyle w:val="6"/>
              <w:spacing w:before="186" w:line="163" w:lineRule="exact"/>
              <w:ind w:left="321"/>
            </w:pPr>
            <w:r>
              <w:rPr>
                <w:position w:val="-4"/>
              </w:rPr>
              <w:t>一</w:t>
            </w:r>
          </w:p>
        </w:tc>
      </w:tr>
      <w:tr w14:paraId="7DECF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69" w:type="dxa"/>
            <w:vMerge w:val="continue"/>
            <w:tcBorders>
              <w:top w:val="nil"/>
            </w:tcBorders>
            <w:vAlign w:val="top"/>
          </w:tcPr>
          <w:p w14:paraId="26206F21">
            <w:pPr>
              <w:rPr>
                <w:rFonts w:ascii="Arial"/>
                <w:sz w:val="21"/>
              </w:rPr>
            </w:pPr>
          </w:p>
        </w:tc>
        <w:tc>
          <w:tcPr>
            <w:tcW w:w="2214" w:type="dxa"/>
            <w:gridSpan w:val="2"/>
            <w:vAlign w:val="top"/>
          </w:tcPr>
          <w:p w14:paraId="66FDE5FB">
            <w:pPr>
              <w:pStyle w:val="6"/>
              <w:spacing w:before="108" w:line="216" w:lineRule="auto"/>
              <w:ind w:left="797"/>
            </w:pPr>
            <w:r>
              <w:rPr>
                <w:spacing w:val="-3"/>
              </w:rPr>
              <w:t>剪力墙</w:t>
            </w:r>
          </w:p>
        </w:tc>
        <w:tc>
          <w:tcPr>
            <w:tcW w:w="884" w:type="dxa"/>
            <w:vAlign w:val="top"/>
          </w:tcPr>
          <w:p w14:paraId="282FB96B">
            <w:pPr>
              <w:pStyle w:val="6"/>
              <w:spacing w:before="108" w:line="216" w:lineRule="auto"/>
              <w:ind w:left="341"/>
            </w:pPr>
            <w:r>
              <w:t>三</w:t>
            </w:r>
          </w:p>
        </w:tc>
        <w:tc>
          <w:tcPr>
            <w:tcW w:w="945" w:type="dxa"/>
            <w:vAlign w:val="top"/>
          </w:tcPr>
          <w:p w14:paraId="3A255FF1">
            <w:pPr>
              <w:pStyle w:val="6"/>
              <w:spacing w:before="108" w:line="216" w:lineRule="auto"/>
              <w:ind w:left="373"/>
            </w:pPr>
            <w:r>
              <w:t>三</w:t>
            </w:r>
          </w:p>
        </w:tc>
        <w:tc>
          <w:tcPr>
            <w:tcW w:w="854" w:type="dxa"/>
            <w:vAlign w:val="top"/>
          </w:tcPr>
          <w:p w14:paraId="7BF5CBD1">
            <w:pPr>
              <w:pStyle w:val="6"/>
              <w:spacing w:before="147" w:line="178" w:lineRule="auto"/>
              <w:ind w:left="330"/>
            </w:pPr>
            <w:r>
              <w:t>二</w:t>
            </w:r>
          </w:p>
        </w:tc>
        <w:tc>
          <w:tcPr>
            <w:tcW w:w="855" w:type="dxa"/>
            <w:vAlign w:val="top"/>
          </w:tcPr>
          <w:p w14:paraId="1DD8FFEB">
            <w:pPr>
              <w:pStyle w:val="6"/>
              <w:spacing w:before="147" w:line="178" w:lineRule="auto"/>
              <w:ind w:left="332"/>
            </w:pPr>
            <w:r>
              <w:t>二</w:t>
            </w:r>
          </w:p>
        </w:tc>
        <w:tc>
          <w:tcPr>
            <w:tcW w:w="869" w:type="dxa"/>
            <w:vAlign w:val="top"/>
          </w:tcPr>
          <w:p w14:paraId="1D29D262">
            <w:pPr>
              <w:pStyle w:val="6"/>
              <w:spacing w:before="187" w:line="163" w:lineRule="exact"/>
              <w:ind w:left="339"/>
            </w:pPr>
            <w:r>
              <w:rPr>
                <w:position w:val="-4"/>
              </w:rPr>
              <w:t>一</w:t>
            </w:r>
          </w:p>
        </w:tc>
        <w:tc>
          <w:tcPr>
            <w:tcW w:w="836" w:type="dxa"/>
            <w:vAlign w:val="top"/>
          </w:tcPr>
          <w:p w14:paraId="19C4C26E">
            <w:pPr>
              <w:pStyle w:val="6"/>
              <w:spacing w:before="187" w:line="163" w:lineRule="exact"/>
              <w:ind w:left="321"/>
            </w:pPr>
            <w:r>
              <w:rPr>
                <w:position w:val="-4"/>
              </w:rPr>
              <w:t>一</w:t>
            </w:r>
          </w:p>
        </w:tc>
      </w:tr>
      <w:tr w14:paraId="50104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9" w:type="dxa"/>
            <w:vMerge w:val="restart"/>
            <w:tcBorders>
              <w:bottom w:val="nil"/>
            </w:tcBorders>
            <w:vAlign w:val="top"/>
          </w:tcPr>
          <w:p w14:paraId="7839B3C4">
            <w:pPr>
              <w:pStyle w:val="6"/>
              <w:spacing w:before="114" w:line="220" w:lineRule="auto"/>
              <w:ind w:left="120"/>
            </w:pPr>
            <w:r>
              <w:rPr>
                <w:spacing w:val="-2"/>
              </w:rPr>
              <w:t>剪力墙结</w:t>
            </w:r>
          </w:p>
          <w:p w14:paraId="053892D9">
            <w:pPr>
              <w:pStyle w:val="6"/>
              <w:spacing w:before="109" w:line="219" w:lineRule="auto"/>
              <w:ind w:left="437"/>
            </w:pPr>
            <w:r>
              <w:t>构</w:t>
            </w:r>
          </w:p>
        </w:tc>
        <w:tc>
          <w:tcPr>
            <w:tcW w:w="2214" w:type="dxa"/>
            <w:gridSpan w:val="2"/>
            <w:vAlign w:val="top"/>
          </w:tcPr>
          <w:p w14:paraId="165047A7">
            <w:pPr>
              <w:pStyle w:val="6"/>
              <w:spacing w:before="110" w:line="215" w:lineRule="auto"/>
              <w:ind w:left="616"/>
            </w:pPr>
            <w:r>
              <w:rPr>
                <w:spacing w:val="-3"/>
              </w:rPr>
              <w:t>高度（</w:t>
            </w:r>
            <w:r>
              <w:rPr>
                <w:rFonts w:ascii="Times New Roman" w:hAnsi="Times New Roman" w:eastAsia="Times New Roman" w:cs="Times New Roman"/>
                <w:spacing w:val="-3"/>
              </w:rPr>
              <w:t>m</w:t>
            </w:r>
            <w:r>
              <w:rPr>
                <w:spacing w:val="-3"/>
              </w:rPr>
              <w:t>）</w:t>
            </w:r>
          </w:p>
        </w:tc>
        <w:tc>
          <w:tcPr>
            <w:tcW w:w="884" w:type="dxa"/>
            <w:vAlign w:val="top"/>
          </w:tcPr>
          <w:p w14:paraId="52AEF727">
            <w:pPr>
              <w:pStyle w:val="6"/>
              <w:spacing w:before="110" w:line="215" w:lineRule="auto"/>
              <w:ind w:left="250"/>
              <w:rPr>
                <w:rFonts w:ascii="Times New Roman" w:hAnsi="Times New Roman" w:eastAsia="Times New Roman" w:cs="Times New Roman"/>
              </w:rPr>
            </w:pPr>
            <w:r>
              <w:rPr>
                <w:spacing w:val="-8"/>
              </w:rPr>
              <w:t>≤</w:t>
            </w:r>
            <w:r>
              <w:rPr>
                <w:rFonts w:ascii="Times New Roman" w:hAnsi="Times New Roman" w:eastAsia="Times New Roman" w:cs="Times New Roman"/>
                <w:spacing w:val="-8"/>
              </w:rPr>
              <w:t>70</w:t>
            </w:r>
          </w:p>
        </w:tc>
        <w:tc>
          <w:tcPr>
            <w:tcW w:w="945" w:type="dxa"/>
            <w:vAlign w:val="top"/>
          </w:tcPr>
          <w:p w14:paraId="2148EB96">
            <w:pPr>
              <w:pStyle w:val="6"/>
              <w:spacing w:before="110" w:line="215" w:lineRule="auto"/>
              <w:ind w:left="330"/>
              <w:rPr>
                <w:rFonts w:ascii="Times New Roman" w:hAnsi="Times New Roman" w:eastAsia="Times New Roman" w:cs="Times New Roman"/>
              </w:rPr>
            </w:pPr>
            <w:r>
              <w:rPr>
                <w:spacing w:val="-23"/>
              </w:rPr>
              <w:t>﹥</w:t>
            </w:r>
            <w:r>
              <w:rPr>
                <w:rFonts w:ascii="Times New Roman" w:hAnsi="Times New Roman" w:eastAsia="Times New Roman" w:cs="Times New Roman"/>
                <w:spacing w:val="-23"/>
              </w:rPr>
              <w:t>70</w:t>
            </w:r>
          </w:p>
        </w:tc>
        <w:tc>
          <w:tcPr>
            <w:tcW w:w="854" w:type="dxa"/>
            <w:vAlign w:val="top"/>
          </w:tcPr>
          <w:p w14:paraId="6A7EF9F5">
            <w:pPr>
              <w:pStyle w:val="6"/>
              <w:spacing w:before="110" w:line="215" w:lineRule="auto"/>
              <w:ind w:left="237"/>
              <w:rPr>
                <w:rFonts w:ascii="Times New Roman" w:hAnsi="Times New Roman" w:eastAsia="Times New Roman" w:cs="Times New Roman"/>
              </w:rPr>
            </w:pPr>
            <w:r>
              <w:rPr>
                <w:spacing w:val="-8"/>
              </w:rPr>
              <w:t>≤</w:t>
            </w:r>
            <w:r>
              <w:rPr>
                <w:rFonts w:ascii="Times New Roman" w:hAnsi="Times New Roman" w:eastAsia="Times New Roman" w:cs="Times New Roman"/>
                <w:spacing w:val="-8"/>
              </w:rPr>
              <w:t>70</w:t>
            </w:r>
          </w:p>
        </w:tc>
        <w:tc>
          <w:tcPr>
            <w:tcW w:w="855" w:type="dxa"/>
            <w:vAlign w:val="top"/>
          </w:tcPr>
          <w:p w14:paraId="44A1AB40">
            <w:pPr>
              <w:pStyle w:val="6"/>
              <w:spacing w:before="110" w:line="215" w:lineRule="auto"/>
              <w:ind w:left="287"/>
              <w:rPr>
                <w:rFonts w:ascii="Times New Roman" w:hAnsi="Times New Roman" w:eastAsia="Times New Roman" w:cs="Times New Roman"/>
              </w:rPr>
            </w:pPr>
            <w:r>
              <w:rPr>
                <w:spacing w:val="-23"/>
              </w:rPr>
              <w:t>﹥</w:t>
            </w:r>
            <w:r>
              <w:rPr>
                <w:rFonts w:ascii="Times New Roman" w:hAnsi="Times New Roman" w:eastAsia="Times New Roman" w:cs="Times New Roman"/>
                <w:spacing w:val="-23"/>
              </w:rPr>
              <w:t>70</w:t>
            </w:r>
          </w:p>
        </w:tc>
        <w:tc>
          <w:tcPr>
            <w:tcW w:w="869" w:type="dxa"/>
            <w:vAlign w:val="top"/>
          </w:tcPr>
          <w:p w14:paraId="13CFB8A8">
            <w:pPr>
              <w:pStyle w:val="6"/>
              <w:spacing w:before="110" w:line="215" w:lineRule="auto"/>
              <w:ind w:left="245"/>
              <w:rPr>
                <w:rFonts w:ascii="Times New Roman" w:hAnsi="Times New Roman" w:eastAsia="Times New Roman" w:cs="Times New Roman"/>
              </w:rPr>
            </w:pPr>
            <w:r>
              <w:rPr>
                <w:spacing w:val="-8"/>
              </w:rPr>
              <w:t>≤</w:t>
            </w:r>
            <w:r>
              <w:rPr>
                <w:rFonts w:ascii="Times New Roman" w:hAnsi="Times New Roman" w:eastAsia="Times New Roman" w:cs="Times New Roman"/>
                <w:spacing w:val="-8"/>
              </w:rPr>
              <w:t>70</w:t>
            </w:r>
          </w:p>
        </w:tc>
        <w:tc>
          <w:tcPr>
            <w:tcW w:w="836" w:type="dxa"/>
            <w:vAlign w:val="top"/>
          </w:tcPr>
          <w:p w14:paraId="6CA74D82">
            <w:pPr>
              <w:pStyle w:val="6"/>
              <w:spacing w:before="110" w:line="215" w:lineRule="auto"/>
              <w:ind w:left="275"/>
              <w:rPr>
                <w:rFonts w:ascii="Times New Roman" w:hAnsi="Times New Roman" w:eastAsia="Times New Roman" w:cs="Times New Roman"/>
              </w:rPr>
            </w:pPr>
            <w:r>
              <w:rPr>
                <w:spacing w:val="-23"/>
              </w:rPr>
              <w:t>﹥</w:t>
            </w:r>
            <w:r>
              <w:rPr>
                <w:rFonts w:ascii="Times New Roman" w:hAnsi="Times New Roman" w:eastAsia="Times New Roman" w:cs="Times New Roman"/>
                <w:spacing w:val="-23"/>
              </w:rPr>
              <w:t>70</w:t>
            </w:r>
          </w:p>
        </w:tc>
      </w:tr>
      <w:tr w14:paraId="2A13D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69" w:type="dxa"/>
            <w:vMerge w:val="continue"/>
            <w:tcBorders>
              <w:top w:val="nil"/>
            </w:tcBorders>
            <w:vAlign w:val="top"/>
          </w:tcPr>
          <w:p w14:paraId="62913F09">
            <w:pPr>
              <w:rPr>
                <w:rFonts w:ascii="Arial"/>
                <w:sz w:val="21"/>
              </w:rPr>
            </w:pPr>
          </w:p>
        </w:tc>
        <w:tc>
          <w:tcPr>
            <w:tcW w:w="2214" w:type="dxa"/>
            <w:gridSpan w:val="2"/>
            <w:vAlign w:val="top"/>
          </w:tcPr>
          <w:p w14:paraId="47AFB155">
            <w:pPr>
              <w:pStyle w:val="6"/>
              <w:spacing w:before="110" w:line="214" w:lineRule="auto"/>
              <w:ind w:left="797"/>
            </w:pPr>
            <w:r>
              <w:rPr>
                <w:spacing w:val="-3"/>
              </w:rPr>
              <w:t>剪力墙</w:t>
            </w:r>
          </w:p>
        </w:tc>
        <w:tc>
          <w:tcPr>
            <w:tcW w:w="884" w:type="dxa"/>
            <w:vAlign w:val="top"/>
          </w:tcPr>
          <w:p w14:paraId="10F247B4">
            <w:pPr>
              <w:pStyle w:val="6"/>
              <w:spacing w:before="110" w:line="214" w:lineRule="auto"/>
              <w:ind w:left="361"/>
            </w:pPr>
            <w:r>
              <w:t>四</w:t>
            </w:r>
          </w:p>
        </w:tc>
        <w:tc>
          <w:tcPr>
            <w:tcW w:w="945" w:type="dxa"/>
            <w:vAlign w:val="top"/>
          </w:tcPr>
          <w:p w14:paraId="43B4693B">
            <w:pPr>
              <w:pStyle w:val="6"/>
              <w:spacing w:before="110" w:line="214" w:lineRule="auto"/>
              <w:ind w:left="373"/>
            </w:pPr>
            <w:r>
              <w:t>三</w:t>
            </w:r>
          </w:p>
        </w:tc>
        <w:tc>
          <w:tcPr>
            <w:tcW w:w="854" w:type="dxa"/>
            <w:vAlign w:val="top"/>
          </w:tcPr>
          <w:p w14:paraId="6B75D7FE">
            <w:pPr>
              <w:pStyle w:val="6"/>
              <w:spacing w:before="110" w:line="214" w:lineRule="auto"/>
              <w:ind w:left="327"/>
            </w:pPr>
            <w:r>
              <w:t>三</w:t>
            </w:r>
          </w:p>
        </w:tc>
        <w:tc>
          <w:tcPr>
            <w:tcW w:w="855" w:type="dxa"/>
            <w:vAlign w:val="top"/>
          </w:tcPr>
          <w:p w14:paraId="19E0652A">
            <w:pPr>
              <w:pStyle w:val="6"/>
              <w:spacing w:before="149" w:line="178" w:lineRule="auto"/>
              <w:ind w:left="332"/>
            </w:pPr>
            <w:r>
              <w:t>二</w:t>
            </w:r>
          </w:p>
        </w:tc>
        <w:tc>
          <w:tcPr>
            <w:tcW w:w="869" w:type="dxa"/>
            <w:vAlign w:val="top"/>
          </w:tcPr>
          <w:p w14:paraId="47F81298">
            <w:pPr>
              <w:pStyle w:val="6"/>
              <w:spacing w:before="149" w:line="178" w:lineRule="auto"/>
              <w:ind w:left="339"/>
            </w:pPr>
            <w:r>
              <w:t>二</w:t>
            </w:r>
          </w:p>
        </w:tc>
        <w:tc>
          <w:tcPr>
            <w:tcW w:w="836" w:type="dxa"/>
            <w:vAlign w:val="top"/>
          </w:tcPr>
          <w:p w14:paraId="48557B55">
            <w:pPr>
              <w:pStyle w:val="6"/>
              <w:spacing w:before="188" w:line="163" w:lineRule="exact"/>
              <w:ind w:left="321"/>
            </w:pPr>
            <w:r>
              <w:rPr>
                <w:position w:val="-4"/>
              </w:rPr>
              <w:t>一</w:t>
            </w:r>
          </w:p>
        </w:tc>
      </w:tr>
      <w:tr w14:paraId="579F8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69" w:type="dxa"/>
            <w:vMerge w:val="restart"/>
            <w:tcBorders>
              <w:bottom w:val="nil"/>
            </w:tcBorders>
            <w:vAlign w:val="top"/>
          </w:tcPr>
          <w:p w14:paraId="58D04113">
            <w:pPr>
              <w:spacing w:line="296" w:lineRule="auto"/>
              <w:rPr>
                <w:rFonts w:ascii="Arial"/>
                <w:sz w:val="21"/>
              </w:rPr>
            </w:pPr>
          </w:p>
          <w:p w14:paraId="663A6C9F">
            <w:pPr>
              <w:spacing w:line="297" w:lineRule="auto"/>
              <w:rPr>
                <w:rFonts w:ascii="Arial"/>
                <w:sz w:val="21"/>
              </w:rPr>
            </w:pPr>
          </w:p>
          <w:p w14:paraId="7CF25A0F">
            <w:pPr>
              <w:pStyle w:val="6"/>
              <w:spacing w:before="69" w:line="220" w:lineRule="auto"/>
              <w:ind w:left="122"/>
            </w:pPr>
            <w:r>
              <w:rPr>
                <w:spacing w:val="-3"/>
              </w:rPr>
              <w:t>筒体结构</w:t>
            </w:r>
          </w:p>
        </w:tc>
        <w:tc>
          <w:tcPr>
            <w:tcW w:w="1119" w:type="dxa"/>
            <w:vMerge w:val="restart"/>
            <w:tcBorders>
              <w:bottom w:val="nil"/>
            </w:tcBorders>
            <w:vAlign w:val="top"/>
          </w:tcPr>
          <w:p w14:paraId="6AE8B9D5">
            <w:pPr>
              <w:pStyle w:val="6"/>
              <w:spacing w:before="114" w:line="220" w:lineRule="auto"/>
              <w:ind w:left="213"/>
            </w:pPr>
            <w:r>
              <w:rPr>
                <w:spacing w:val="-2"/>
              </w:rPr>
              <w:t>框架</w:t>
            </w:r>
            <w:r>
              <w:rPr>
                <w:rFonts w:ascii="Times New Roman" w:hAnsi="Times New Roman" w:eastAsia="Times New Roman" w:cs="Times New Roman"/>
                <w:spacing w:val="-2"/>
              </w:rPr>
              <w:t>-</w:t>
            </w:r>
            <w:r>
              <w:rPr>
                <w:spacing w:val="-2"/>
              </w:rPr>
              <w:t>核</w:t>
            </w:r>
          </w:p>
          <w:p w14:paraId="75B94E65">
            <w:pPr>
              <w:pStyle w:val="6"/>
              <w:spacing w:before="109" w:line="219" w:lineRule="auto"/>
              <w:ind w:left="150"/>
            </w:pPr>
            <w:r>
              <w:rPr>
                <w:spacing w:val="-3"/>
              </w:rPr>
              <w:t>心筒结构</w:t>
            </w:r>
          </w:p>
        </w:tc>
        <w:tc>
          <w:tcPr>
            <w:tcW w:w="1095" w:type="dxa"/>
            <w:vAlign w:val="top"/>
          </w:tcPr>
          <w:p w14:paraId="745BF838">
            <w:pPr>
              <w:pStyle w:val="6"/>
              <w:spacing w:before="110" w:line="214" w:lineRule="auto"/>
              <w:ind w:left="341"/>
            </w:pPr>
            <w:r>
              <w:rPr>
                <w:spacing w:val="-2"/>
              </w:rPr>
              <w:t>框架</w:t>
            </w:r>
          </w:p>
        </w:tc>
        <w:tc>
          <w:tcPr>
            <w:tcW w:w="1829" w:type="dxa"/>
            <w:gridSpan w:val="2"/>
            <w:vAlign w:val="top"/>
          </w:tcPr>
          <w:p w14:paraId="1998F21E">
            <w:pPr>
              <w:pStyle w:val="6"/>
              <w:spacing w:before="110" w:line="214" w:lineRule="auto"/>
              <w:ind w:left="814"/>
            </w:pPr>
            <w:r>
              <w:t>三</w:t>
            </w:r>
          </w:p>
        </w:tc>
        <w:tc>
          <w:tcPr>
            <w:tcW w:w="1709" w:type="dxa"/>
            <w:gridSpan w:val="2"/>
            <w:vAlign w:val="top"/>
          </w:tcPr>
          <w:p w14:paraId="3156FDD3">
            <w:pPr>
              <w:pStyle w:val="6"/>
              <w:spacing w:before="149" w:line="178" w:lineRule="auto"/>
              <w:ind w:left="758"/>
            </w:pPr>
            <w:r>
              <w:t>二</w:t>
            </w:r>
          </w:p>
        </w:tc>
        <w:tc>
          <w:tcPr>
            <w:tcW w:w="1705" w:type="dxa"/>
            <w:gridSpan w:val="2"/>
            <w:vAlign w:val="top"/>
          </w:tcPr>
          <w:p w14:paraId="206E6AF1">
            <w:pPr>
              <w:pStyle w:val="6"/>
              <w:spacing w:before="189" w:line="163" w:lineRule="exact"/>
              <w:ind w:left="755"/>
            </w:pPr>
            <w:r>
              <w:rPr>
                <w:position w:val="-4"/>
              </w:rPr>
              <w:t>一</w:t>
            </w:r>
          </w:p>
        </w:tc>
      </w:tr>
      <w:tr w14:paraId="5505E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9" w:type="dxa"/>
            <w:vMerge w:val="continue"/>
            <w:tcBorders>
              <w:top w:val="nil"/>
              <w:bottom w:val="nil"/>
            </w:tcBorders>
            <w:vAlign w:val="top"/>
          </w:tcPr>
          <w:p w14:paraId="6428C8A6">
            <w:pPr>
              <w:rPr>
                <w:rFonts w:ascii="Arial"/>
                <w:sz w:val="21"/>
              </w:rPr>
            </w:pPr>
          </w:p>
        </w:tc>
        <w:tc>
          <w:tcPr>
            <w:tcW w:w="1119" w:type="dxa"/>
            <w:vMerge w:val="continue"/>
            <w:tcBorders>
              <w:top w:val="nil"/>
            </w:tcBorders>
            <w:vAlign w:val="top"/>
          </w:tcPr>
          <w:p w14:paraId="30798F18">
            <w:pPr>
              <w:rPr>
                <w:rFonts w:ascii="Arial"/>
                <w:sz w:val="21"/>
              </w:rPr>
            </w:pPr>
          </w:p>
        </w:tc>
        <w:tc>
          <w:tcPr>
            <w:tcW w:w="1095" w:type="dxa"/>
            <w:vAlign w:val="top"/>
          </w:tcPr>
          <w:p w14:paraId="165A6ACA">
            <w:pPr>
              <w:pStyle w:val="6"/>
              <w:spacing w:before="112" w:line="213" w:lineRule="auto"/>
              <w:ind w:left="239"/>
            </w:pPr>
            <w:r>
              <w:rPr>
                <w:spacing w:val="-3"/>
              </w:rPr>
              <w:t>核心筒</w:t>
            </w:r>
          </w:p>
        </w:tc>
        <w:tc>
          <w:tcPr>
            <w:tcW w:w="1829" w:type="dxa"/>
            <w:gridSpan w:val="2"/>
            <w:vAlign w:val="top"/>
          </w:tcPr>
          <w:p w14:paraId="64DBF48B">
            <w:pPr>
              <w:pStyle w:val="6"/>
              <w:spacing w:before="151" w:line="178" w:lineRule="auto"/>
              <w:ind w:left="817"/>
            </w:pPr>
            <w:r>
              <w:t>二</w:t>
            </w:r>
          </w:p>
        </w:tc>
        <w:tc>
          <w:tcPr>
            <w:tcW w:w="1709" w:type="dxa"/>
            <w:gridSpan w:val="2"/>
            <w:vAlign w:val="top"/>
          </w:tcPr>
          <w:p w14:paraId="3EFA217B">
            <w:pPr>
              <w:pStyle w:val="6"/>
              <w:spacing w:before="151" w:line="178" w:lineRule="auto"/>
              <w:ind w:left="758"/>
            </w:pPr>
            <w:r>
              <w:t>二</w:t>
            </w:r>
          </w:p>
        </w:tc>
        <w:tc>
          <w:tcPr>
            <w:tcW w:w="1705" w:type="dxa"/>
            <w:gridSpan w:val="2"/>
            <w:vAlign w:val="top"/>
          </w:tcPr>
          <w:p w14:paraId="15068FE7">
            <w:pPr>
              <w:pStyle w:val="6"/>
              <w:spacing w:before="191" w:line="162" w:lineRule="exact"/>
              <w:ind w:left="755"/>
            </w:pPr>
            <w:r>
              <w:rPr>
                <w:position w:val="-4"/>
              </w:rPr>
              <w:t>一</w:t>
            </w:r>
          </w:p>
        </w:tc>
      </w:tr>
      <w:tr w14:paraId="76D5A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69" w:type="dxa"/>
            <w:vMerge w:val="continue"/>
            <w:tcBorders>
              <w:top w:val="nil"/>
              <w:bottom w:val="nil"/>
            </w:tcBorders>
            <w:vAlign w:val="top"/>
          </w:tcPr>
          <w:p w14:paraId="3A833BA5">
            <w:pPr>
              <w:rPr>
                <w:rFonts w:ascii="Arial"/>
                <w:sz w:val="21"/>
              </w:rPr>
            </w:pPr>
          </w:p>
        </w:tc>
        <w:tc>
          <w:tcPr>
            <w:tcW w:w="1119" w:type="dxa"/>
            <w:vMerge w:val="restart"/>
            <w:tcBorders>
              <w:bottom w:val="nil"/>
            </w:tcBorders>
            <w:vAlign w:val="top"/>
          </w:tcPr>
          <w:p w14:paraId="22E4F842">
            <w:pPr>
              <w:pStyle w:val="6"/>
              <w:spacing w:before="116" w:line="220" w:lineRule="auto"/>
              <w:ind w:left="147"/>
            </w:pPr>
            <w:r>
              <w:rPr>
                <w:spacing w:val="-3"/>
              </w:rPr>
              <w:t>筒中筒结</w:t>
            </w:r>
          </w:p>
          <w:p w14:paraId="271EC455">
            <w:pPr>
              <w:pStyle w:val="6"/>
              <w:spacing w:before="110" w:line="220" w:lineRule="auto"/>
              <w:ind w:left="461"/>
            </w:pPr>
            <w:r>
              <w:t>构</w:t>
            </w:r>
          </w:p>
        </w:tc>
        <w:tc>
          <w:tcPr>
            <w:tcW w:w="1095" w:type="dxa"/>
            <w:vAlign w:val="top"/>
          </w:tcPr>
          <w:p w14:paraId="387AE84C">
            <w:pPr>
              <w:pStyle w:val="6"/>
              <w:spacing w:before="111" w:line="213" w:lineRule="auto"/>
              <w:ind w:left="367"/>
            </w:pPr>
            <w:r>
              <w:rPr>
                <w:spacing w:val="-9"/>
              </w:rPr>
              <w:t>内筒</w:t>
            </w:r>
          </w:p>
        </w:tc>
        <w:tc>
          <w:tcPr>
            <w:tcW w:w="1829" w:type="dxa"/>
            <w:gridSpan w:val="2"/>
            <w:vAlign w:val="top"/>
          </w:tcPr>
          <w:p w14:paraId="284DFA98">
            <w:pPr>
              <w:pStyle w:val="6"/>
              <w:spacing w:before="111" w:line="213" w:lineRule="auto"/>
              <w:ind w:left="814"/>
            </w:pPr>
            <w:r>
              <w:t>三</w:t>
            </w:r>
          </w:p>
        </w:tc>
        <w:tc>
          <w:tcPr>
            <w:tcW w:w="1709" w:type="dxa"/>
            <w:gridSpan w:val="2"/>
            <w:vAlign w:val="top"/>
          </w:tcPr>
          <w:p w14:paraId="44B4EE7E">
            <w:pPr>
              <w:pStyle w:val="6"/>
              <w:spacing w:before="151" w:line="178" w:lineRule="auto"/>
              <w:ind w:left="758"/>
            </w:pPr>
            <w:r>
              <w:t>二</w:t>
            </w:r>
          </w:p>
        </w:tc>
        <w:tc>
          <w:tcPr>
            <w:tcW w:w="1705" w:type="dxa"/>
            <w:gridSpan w:val="2"/>
            <w:vAlign w:val="top"/>
          </w:tcPr>
          <w:p w14:paraId="1AA2E6A5">
            <w:pPr>
              <w:pStyle w:val="6"/>
              <w:spacing w:before="190" w:line="163" w:lineRule="exact"/>
              <w:ind w:left="755"/>
            </w:pPr>
            <w:r>
              <w:rPr>
                <w:position w:val="-4"/>
              </w:rPr>
              <w:t>一</w:t>
            </w:r>
          </w:p>
        </w:tc>
      </w:tr>
      <w:tr w14:paraId="7DD0E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069" w:type="dxa"/>
            <w:vMerge w:val="continue"/>
            <w:tcBorders>
              <w:top w:val="nil"/>
            </w:tcBorders>
            <w:vAlign w:val="top"/>
          </w:tcPr>
          <w:p w14:paraId="2BD3F26F">
            <w:pPr>
              <w:rPr>
                <w:rFonts w:ascii="Arial"/>
                <w:sz w:val="21"/>
              </w:rPr>
            </w:pPr>
          </w:p>
        </w:tc>
        <w:tc>
          <w:tcPr>
            <w:tcW w:w="1119" w:type="dxa"/>
            <w:vMerge w:val="continue"/>
            <w:tcBorders>
              <w:top w:val="nil"/>
            </w:tcBorders>
            <w:vAlign w:val="top"/>
          </w:tcPr>
          <w:p w14:paraId="3B3C5B7F">
            <w:pPr>
              <w:rPr>
                <w:rFonts w:ascii="Arial"/>
                <w:sz w:val="21"/>
              </w:rPr>
            </w:pPr>
          </w:p>
        </w:tc>
        <w:tc>
          <w:tcPr>
            <w:tcW w:w="1095" w:type="dxa"/>
            <w:vAlign w:val="top"/>
          </w:tcPr>
          <w:p w14:paraId="6D0872F9">
            <w:pPr>
              <w:pStyle w:val="6"/>
              <w:spacing w:before="113" w:line="217" w:lineRule="auto"/>
              <w:ind w:left="346"/>
            </w:pPr>
            <w:r>
              <w:rPr>
                <w:spacing w:val="-4"/>
              </w:rPr>
              <w:t>外筒</w:t>
            </w:r>
          </w:p>
        </w:tc>
        <w:tc>
          <w:tcPr>
            <w:tcW w:w="1829" w:type="dxa"/>
            <w:gridSpan w:val="2"/>
            <w:vAlign w:val="top"/>
          </w:tcPr>
          <w:p w14:paraId="040ED3F3">
            <w:pPr>
              <w:pStyle w:val="6"/>
              <w:spacing w:before="113" w:line="217" w:lineRule="auto"/>
              <w:ind w:left="814"/>
            </w:pPr>
            <w:r>
              <w:t>三</w:t>
            </w:r>
          </w:p>
        </w:tc>
        <w:tc>
          <w:tcPr>
            <w:tcW w:w="1709" w:type="dxa"/>
            <w:gridSpan w:val="2"/>
            <w:vAlign w:val="top"/>
          </w:tcPr>
          <w:p w14:paraId="74B37A2D">
            <w:pPr>
              <w:pStyle w:val="6"/>
              <w:spacing w:before="151" w:line="178" w:lineRule="auto"/>
              <w:ind w:left="758"/>
            </w:pPr>
            <w:r>
              <w:t>二</w:t>
            </w:r>
          </w:p>
        </w:tc>
        <w:tc>
          <w:tcPr>
            <w:tcW w:w="1705" w:type="dxa"/>
            <w:gridSpan w:val="2"/>
            <w:vAlign w:val="top"/>
          </w:tcPr>
          <w:p w14:paraId="51C7BAB7">
            <w:pPr>
              <w:pStyle w:val="6"/>
              <w:spacing w:before="191" w:line="163" w:lineRule="exact"/>
              <w:ind w:left="755"/>
            </w:pPr>
            <w:r>
              <w:rPr>
                <w:position w:val="-4"/>
              </w:rPr>
              <w:t>一</w:t>
            </w:r>
          </w:p>
        </w:tc>
      </w:tr>
    </w:tbl>
    <w:p w14:paraId="527BF4C4">
      <w:pPr>
        <w:spacing w:before="108" w:line="316" w:lineRule="auto"/>
        <w:ind w:left="5" w:hanging="2"/>
        <w:rPr>
          <w:rFonts w:ascii="宋体" w:hAnsi="宋体" w:eastAsia="宋体" w:cs="宋体"/>
          <w:sz w:val="21"/>
          <w:szCs w:val="21"/>
        </w:rPr>
      </w:pPr>
      <w:r>
        <w:rPr>
          <w:rFonts w:ascii="宋体" w:hAnsi="宋体" w:eastAsia="宋体" w:cs="宋体"/>
          <w:sz w:val="21"/>
          <w:szCs w:val="21"/>
        </w:rPr>
        <w:t>注：</w:t>
      </w:r>
      <w:r>
        <w:rPr>
          <w:rFonts w:ascii="Times New Roman" w:hAnsi="Times New Roman" w:eastAsia="Times New Roman" w:cs="Times New Roman"/>
          <w:sz w:val="21"/>
          <w:szCs w:val="21"/>
        </w:rPr>
        <w:t xml:space="preserve">1  </w:t>
      </w:r>
      <w:r>
        <w:rPr>
          <w:rFonts w:ascii="宋体" w:hAnsi="宋体" w:eastAsia="宋体" w:cs="宋体"/>
          <w:sz w:val="21"/>
          <w:szCs w:val="21"/>
        </w:rPr>
        <w:t>建筑场地为Ⅰ类时，除</w:t>
      </w:r>
      <w:r>
        <w:rPr>
          <w:rFonts w:ascii="宋体" w:hAnsi="宋体" w:eastAsia="宋体" w:cs="宋体"/>
          <w:spacing w:val="-43"/>
          <w:sz w:val="21"/>
          <w:szCs w:val="21"/>
        </w:rPr>
        <w:t xml:space="preserve"> </w:t>
      </w:r>
      <w:r>
        <w:rPr>
          <w:rFonts w:ascii="Times New Roman" w:hAnsi="Times New Roman" w:eastAsia="Times New Roman" w:cs="Times New Roman"/>
          <w:sz w:val="21"/>
          <w:szCs w:val="21"/>
        </w:rPr>
        <w:t xml:space="preserve">6 </w:t>
      </w:r>
      <w:r>
        <w:rPr>
          <w:rFonts w:ascii="宋体" w:hAnsi="宋体" w:eastAsia="宋体" w:cs="宋体"/>
          <w:sz w:val="21"/>
          <w:szCs w:val="21"/>
        </w:rPr>
        <w:t>度设防外，应允许按本</w:t>
      </w:r>
      <w:r>
        <w:rPr>
          <w:rFonts w:ascii="宋体" w:hAnsi="宋体" w:eastAsia="宋体" w:cs="宋体"/>
          <w:spacing w:val="-1"/>
          <w:sz w:val="21"/>
          <w:szCs w:val="21"/>
        </w:rPr>
        <w:t>地区设防烈度降低一度所对应的抗震等级采</w:t>
      </w:r>
      <w:r>
        <w:rPr>
          <w:rFonts w:ascii="宋体" w:hAnsi="宋体" w:eastAsia="宋体" w:cs="宋体"/>
          <w:sz w:val="21"/>
          <w:szCs w:val="21"/>
        </w:rPr>
        <w:t xml:space="preserve"> </w:t>
      </w:r>
      <w:r>
        <w:rPr>
          <w:rFonts w:ascii="宋体" w:hAnsi="宋体" w:eastAsia="宋体" w:cs="宋体"/>
          <w:spacing w:val="-3"/>
          <w:sz w:val="21"/>
          <w:szCs w:val="21"/>
        </w:rPr>
        <w:t>取抗震构造措施，但相应的计算要求不应降低；</w:t>
      </w:r>
    </w:p>
    <w:p w14:paraId="7121A67D">
      <w:pPr>
        <w:spacing w:before="2" w:line="267" w:lineRule="auto"/>
        <w:ind w:left="5" w:right="140" w:firstLine="413"/>
        <w:rPr>
          <w:rFonts w:ascii="宋体" w:hAnsi="宋体" w:eastAsia="宋体" w:cs="宋体"/>
          <w:sz w:val="21"/>
          <w:szCs w:val="21"/>
        </w:rPr>
      </w:pPr>
      <w:r>
        <w:rPr>
          <w:rFonts w:ascii="Times New Roman" w:hAnsi="Times New Roman" w:eastAsia="Times New Roman" w:cs="Times New Roman"/>
          <w:sz w:val="21"/>
          <w:szCs w:val="21"/>
        </w:rPr>
        <w:t xml:space="preserve">2  </w:t>
      </w:r>
      <w:r>
        <w:rPr>
          <w:rFonts w:ascii="宋体" w:hAnsi="宋体" w:eastAsia="宋体" w:cs="宋体"/>
          <w:sz w:val="21"/>
          <w:szCs w:val="21"/>
        </w:rPr>
        <w:t>框架</w:t>
      </w:r>
      <w:r>
        <w:rPr>
          <w:rFonts w:ascii="Times New Roman" w:hAnsi="Times New Roman" w:eastAsia="Times New Roman" w:cs="Times New Roman"/>
          <w:sz w:val="21"/>
          <w:szCs w:val="21"/>
        </w:rPr>
        <w:t>-</w:t>
      </w:r>
      <w:r>
        <w:rPr>
          <w:rFonts w:ascii="宋体" w:hAnsi="宋体" w:eastAsia="宋体" w:cs="宋体"/>
          <w:sz w:val="21"/>
          <w:szCs w:val="21"/>
        </w:rPr>
        <w:t>剪力墙结构，当按基本振型计算地震作用时，若框架部分承受的地震倾</w:t>
      </w:r>
      <w:r>
        <w:rPr>
          <w:rFonts w:ascii="宋体" w:hAnsi="宋体" w:eastAsia="宋体" w:cs="宋体"/>
          <w:spacing w:val="-1"/>
          <w:sz w:val="21"/>
          <w:szCs w:val="21"/>
        </w:rPr>
        <w:t>覆力矩大于结</w:t>
      </w:r>
      <w:r>
        <w:rPr>
          <w:rFonts w:ascii="宋体" w:hAnsi="宋体" w:eastAsia="宋体" w:cs="宋体"/>
          <w:sz w:val="21"/>
          <w:szCs w:val="21"/>
        </w:rPr>
        <w:t xml:space="preserve"> </w:t>
      </w:r>
      <w:r>
        <w:rPr>
          <w:rFonts w:ascii="宋体" w:hAnsi="宋体" w:eastAsia="宋体" w:cs="宋体"/>
          <w:spacing w:val="-2"/>
          <w:sz w:val="21"/>
          <w:szCs w:val="21"/>
        </w:rPr>
        <w:t>构总地震倾覆力矩的</w:t>
      </w:r>
      <w:r>
        <w:rPr>
          <w:rFonts w:ascii="宋体" w:hAnsi="宋体" w:eastAsia="宋体" w:cs="宋体"/>
          <w:spacing w:val="-41"/>
          <w:sz w:val="21"/>
          <w:szCs w:val="21"/>
        </w:rPr>
        <w:t xml:space="preserve"> </w:t>
      </w:r>
      <w:r>
        <w:rPr>
          <w:rFonts w:ascii="Times New Roman" w:hAnsi="Times New Roman" w:eastAsia="Times New Roman" w:cs="Times New Roman"/>
          <w:spacing w:val="-2"/>
          <w:sz w:val="21"/>
          <w:szCs w:val="21"/>
        </w:rPr>
        <w:t>50%</w:t>
      </w:r>
      <w:r>
        <w:rPr>
          <w:rFonts w:ascii="宋体" w:hAnsi="宋体" w:eastAsia="宋体" w:cs="宋体"/>
          <w:spacing w:val="-2"/>
          <w:sz w:val="21"/>
          <w:szCs w:val="21"/>
        </w:rPr>
        <w:t>，框架部分应按表中框架结构相应的抗震等级设计；</w:t>
      </w:r>
    </w:p>
    <w:p w14:paraId="06566F6C">
      <w:pPr>
        <w:spacing w:before="109" w:line="220" w:lineRule="auto"/>
        <w:ind w:left="423"/>
        <w:rPr>
          <w:rFonts w:ascii="宋体" w:hAnsi="宋体" w:eastAsia="宋体" w:cs="宋体"/>
          <w:sz w:val="21"/>
          <w:szCs w:val="21"/>
        </w:rPr>
      </w:pPr>
      <w:r>
        <w:rPr>
          <w:rFonts w:ascii="Times New Roman" w:hAnsi="Times New Roman" w:eastAsia="Times New Roman" w:cs="Times New Roman"/>
          <w:spacing w:val="-1"/>
          <w:sz w:val="21"/>
          <w:szCs w:val="21"/>
        </w:rPr>
        <w:t xml:space="preserve">3  </w:t>
      </w:r>
      <w:r>
        <w:rPr>
          <w:rFonts w:ascii="宋体" w:hAnsi="宋体" w:eastAsia="宋体" w:cs="宋体"/>
          <w:spacing w:val="-1"/>
          <w:sz w:val="21"/>
          <w:szCs w:val="21"/>
        </w:rPr>
        <w:t>接近或等于高度分界时，应允许结合房屋不规则程度及场地、地基条件确定抗震等级。</w:t>
      </w:r>
    </w:p>
    <w:p w14:paraId="08C1CA5E">
      <w:pPr>
        <w:spacing w:before="147" w:line="220" w:lineRule="auto"/>
        <w:ind w:left="4"/>
        <w:rPr>
          <w:rFonts w:ascii="宋体" w:hAnsi="宋体" w:eastAsia="宋体" w:cs="宋体"/>
          <w:sz w:val="24"/>
          <w:szCs w:val="24"/>
        </w:rPr>
      </w:pPr>
      <w:r>
        <w:rPr>
          <w:rFonts w:ascii="Times New Roman" w:hAnsi="Times New Roman" w:eastAsia="Times New Roman" w:cs="Times New Roman"/>
          <w:sz w:val="24"/>
          <w:szCs w:val="24"/>
        </w:rPr>
        <w:t xml:space="preserve">9.1.3    </w:t>
      </w:r>
      <w:r>
        <w:rPr>
          <w:rFonts w:ascii="宋体" w:hAnsi="宋体" w:eastAsia="宋体" w:cs="宋体"/>
          <w:sz w:val="24"/>
          <w:szCs w:val="24"/>
        </w:rPr>
        <w:t>轻骨料进场时，应按品种、种类、密度等级和质</w:t>
      </w:r>
      <w:r>
        <w:rPr>
          <w:rFonts w:ascii="宋体" w:hAnsi="宋体" w:eastAsia="宋体" w:cs="宋体"/>
          <w:spacing w:val="-1"/>
          <w:sz w:val="24"/>
          <w:szCs w:val="24"/>
        </w:rPr>
        <w:t>量等级分批检验。陶粒每</w:t>
      </w:r>
    </w:p>
    <w:p w14:paraId="2CDD1135">
      <w:pPr>
        <w:spacing w:before="157" w:line="298" w:lineRule="auto"/>
        <w:ind w:left="3" w:right="177" w:hanging="3"/>
        <w:rPr>
          <w:rFonts w:ascii="宋体" w:hAnsi="宋体" w:eastAsia="宋体" w:cs="宋体"/>
          <w:sz w:val="24"/>
          <w:szCs w:val="24"/>
        </w:rPr>
      </w:pPr>
      <w:r>
        <w:rPr>
          <w:rFonts w:ascii="Times New Roman" w:hAnsi="Times New Roman" w:eastAsia="Times New Roman" w:cs="Times New Roman"/>
          <w:spacing w:val="-2"/>
          <w:sz w:val="24"/>
          <w:szCs w:val="24"/>
        </w:rPr>
        <w:t>200m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32"/>
          <w:w w:val="101"/>
          <w:position w:val="8"/>
          <w:sz w:val="15"/>
          <w:szCs w:val="15"/>
        </w:rPr>
        <w:t xml:space="preserve"> </w:t>
      </w:r>
      <w:r>
        <w:rPr>
          <w:rFonts w:ascii="宋体" w:hAnsi="宋体" w:eastAsia="宋体" w:cs="宋体"/>
          <w:spacing w:val="-2"/>
          <w:sz w:val="24"/>
          <w:szCs w:val="24"/>
        </w:rPr>
        <w:t>为一批，不足</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3"/>
          <w:w w:val="101"/>
          <w:position w:val="8"/>
          <w:sz w:val="15"/>
          <w:szCs w:val="15"/>
        </w:rPr>
        <w:t xml:space="preserve"> </w:t>
      </w:r>
      <w:r>
        <w:rPr>
          <w:rFonts w:ascii="宋体" w:hAnsi="宋体" w:eastAsia="宋体" w:cs="宋体"/>
          <w:spacing w:val="-2"/>
          <w:sz w:val="24"/>
          <w:szCs w:val="24"/>
        </w:rPr>
        <w:t>时也作为一批；自燃煤矸石和火山渣每</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15"/>
          <w:position w:val="8"/>
          <w:sz w:val="15"/>
          <w:szCs w:val="15"/>
        </w:rPr>
        <w:t xml:space="preserve"> </w:t>
      </w:r>
      <w:r>
        <w:rPr>
          <w:rFonts w:ascii="宋体" w:hAnsi="宋体" w:eastAsia="宋体" w:cs="宋体"/>
          <w:spacing w:val="-2"/>
          <w:sz w:val="24"/>
          <w:szCs w:val="24"/>
        </w:rPr>
        <w:t>为一批，不</w:t>
      </w:r>
      <w:r>
        <w:rPr>
          <w:rFonts w:ascii="宋体" w:hAnsi="宋体" w:eastAsia="宋体" w:cs="宋体"/>
          <w:sz w:val="24"/>
          <w:szCs w:val="24"/>
        </w:rPr>
        <w:t xml:space="preserve"> </w:t>
      </w:r>
      <w:r>
        <w:rPr>
          <w:rFonts w:ascii="宋体" w:hAnsi="宋体" w:eastAsia="宋体" w:cs="宋体"/>
          <w:spacing w:val="-2"/>
          <w:sz w:val="24"/>
          <w:szCs w:val="24"/>
        </w:rPr>
        <w:t>足</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3"/>
          <w:w w:val="102"/>
          <w:position w:val="8"/>
          <w:sz w:val="15"/>
          <w:szCs w:val="15"/>
        </w:rPr>
        <w:t xml:space="preserve"> </w:t>
      </w:r>
      <w:r>
        <w:rPr>
          <w:rFonts w:ascii="宋体" w:hAnsi="宋体" w:eastAsia="宋体" w:cs="宋体"/>
          <w:spacing w:val="-2"/>
          <w:sz w:val="24"/>
          <w:szCs w:val="24"/>
        </w:rPr>
        <w:t>时也作为一批。检验项目应包括颗粒机配、堆积密度</w:t>
      </w:r>
      <w:r>
        <w:rPr>
          <w:rFonts w:ascii="宋体" w:hAnsi="宋体" w:eastAsia="宋体" w:cs="宋体"/>
          <w:spacing w:val="-3"/>
          <w:sz w:val="24"/>
          <w:szCs w:val="24"/>
        </w:rPr>
        <w:t>、筒压强度和吸水率。</w:t>
      </w:r>
      <w:r>
        <w:rPr>
          <w:rFonts w:ascii="宋体" w:hAnsi="宋体" w:eastAsia="宋体" w:cs="宋体"/>
          <w:sz w:val="24"/>
          <w:szCs w:val="24"/>
        </w:rPr>
        <w:t xml:space="preserve"> </w:t>
      </w:r>
      <w:r>
        <w:rPr>
          <w:rFonts w:ascii="宋体" w:hAnsi="宋体" w:eastAsia="宋体" w:cs="宋体"/>
          <w:spacing w:val="-2"/>
          <w:sz w:val="24"/>
          <w:szCs w:val="24"/>
        </w:rPr>
        <w:t>对自燃煤矸石，尚应检验其烧失量和三氧化硫含量。</w:t>
      </w:r>
    </w:p>
    <w:p w14:paraId="56FF7BF3">
      <w:pPr>
        <w:spacing w:before="156" w:line="219" w:lineRule="auto"/>
        <w:ind w:left="4"/>
        <w:rPr>
          <w:rFonts w:ascii="宋体" w:hAnsi="宋体" w:eastAsia="宋体" w:cs="宋体"/>
          <w:sz w:val="24"/>
          <w:szCs w:val="24"/>
        </w:rPr>
      </w:pPr>
      <w:r>
        <w:rPr>
          <w:rFonts w:ascii="Times New Roman" w:hAnsi="Times New Roman" w:eastAsia="Times New Roman" w:cs="Times New Roman"/>
          <w:spacing w:val="-2"/>
          <w:sz w:val="24"/>
          <w:szCs w:val="24"/>
        </w:rPr>
        <w:t xml:space="preserve">9.2.4    </w:t>
      </w:r>
      <w:r>
        <w:rPr>
          <w:rFonts w:ascii="宋体" w:hAnsi="宋体" w:eastAsia="宋体" w:cs="宋体"/>
          <w:spacing w:val="-2"/>
          <w:sz w:val="24"/>
          <w:szCs w:val="24"/>
        </w:rPr>
        <w:t>轻骨料混凝土拌合物必须采用强制式搅拌机搅拌。</w:t>
      </w:r>
    </w:p>
    <w:p w14:paraId="4840E8CB">
      <w:pPr>
        <w:spacing w:before="156" w:line="278" w:lineRule="auto"/>
        <w:ind w:left="3" w:right="150" w:firstLine="1"/>
        <w:rPr>
          <w:rFonts w:ascii="宋体" w:hAnsi="宋体" w:eastAsia="宋体" w:cs="宋体"/>
          <w:sz w:val="24"/>
          <w:szCs w:val="24"/>
        </w:rPr>
      </w:pPr>
      <w:r>
        <w:rPr>
          <w:rFonts w:ascii="Times New Roman" w:hAnsi="Times New Roman" w:eastAsia="Times New Roman" w:cs="Times New Roman"/>
          <w:sz w:val="24"/>
          <w:szCs w:val="24"/>
        </w:rPr>
        <w:t xml:space="preserve">9.3.1    </w:t>
      </w:r>
      <w:r>
        <w:rPr>
          <w:rFonts w:ascii="宋体" w:hAnsi="宋体" w:eastAsia="宋体" w:cs="宋体"/>
          <w:sz w:val="24"/>
          <w:szCs w:val="24"/>
        </w:rPr>
        <w:t>轻骨料混凝的强度等级必须符合设计要求。用于检查</w:t>
      </w:r>
      <w:r>
        <w:rPr>
          <w:rFonts w:ascii="宋体" w:hAnsi="宋体" w:eastAsia="宋体" w:cs="宋体"/>
          <w:spacing w:val="-1"/>
          <w:sz w:val="24"/>
          <w:szCs w:val="24"/>
        </w:rPr>
        <w:t>结构构件轻骨料混凝土强</w:t>
      </w:r>
      <w:r>
        <w:rPr>
          <w:rFonts w:ascii="宋体" w:hAnsi="宋体" w:eastAsia="宋体" w:cs="宋体"/>
          <w:sz w:val="24"/>
          <w:szCs w:val="24"/>
        </w:rPr>
        <w:t xml:space="preserve"> </w:t>
      </w:r>
      <w:r>
        <w:rPr>
          <w:rFonts w:ascii="宋体" w:hAnsi="宋体" w:eastAsia="宋体" w:cs="宋体"/>
          <w:spacing w:val="-2"/>
          <w:sz w:val="24"/>
          <w:szCs w:val="24"/>
        </w:rPr>
        <w:t>度的试件，应在混凝土的浇筑地点随机抽取。取样与试件留置应符合下列规定：</w:t>
      </w:r>
    </w:p>
    <w:p w14:paraId="09333339">
      <w:pPr>
        <w:spacing w:before="157" w:line="279" w:lineRule="auto"/>
        <w:ind w:left="10" w:right="382" w:firstLine="492"/>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每拌制</w:t>
      </w:r>
      <w:r>
        <w:rPr>
          <w:rFonts w:ascii="宋体" w:hAnsi="宋体" w:eastAsia="宋体" w:cs="宋体"/>
          <w:spacing w:val="-21"/>
          <w:sz w:val="24"/>
          <w:szCs w:val="24"/>
        </w:rPr>
        <w:t xml:space="preserve"> </w:t>
      </w:r>
      <w:r>
        <w:rPr>
          <w:rFonts w:ascii="Times New Roman" w:hAnsi="Times New Roman" w:eastAsia="Times New Roman" w:cs="Times New Roman"/>
          <w:spacing w:val="-3"/>
          <w:sz w:val="24"/>
          <w:szCs w:val="24"/>
        </w:rPr>
        <w:t xml:space="preserve">100 </w:t>
      </w:r>
      <w:r>
        <w:rPr>
          <w:rFonts w:ascii="宋体" w:hAnsi="宋体" w:eastAsia="宋体" w:cs="宋体"/>
          <w:spacing w:val="-3"/>
          <w:sz w:val="24"/>
          <w:szCs w:val="24"/>
        </w:rPr>
        <w:t>盘且不超过</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100m</w:t>
      </w:r>
      <w:r>
        <w:rPr>
          <w:rFonts w:ascii="Times New Roman" w:hAnsi="Times New Roman" w:eastAsia="Times New Roman" w:cs="Times New Roman"/>
          <w:spacing w:val="-3"/>
          <w:position w:val="8"/>
          <w:sz w:val="15"/>
          <w:szCs w:val="15"/>
        </w:rPr>
        <w:t xml:space="preserve">3  </w:t>
      </w:r>
      <w:r>
        <w:rPr>
          <w:rFonts w:ascii="宋体" w:hAnsi="宋体" w:eastAsia="宋体" w:cs="宋体"/>
          <w:spacing w:val="-3"/>
          <w:sz w:val="24"/>
          <w:szCs w:val="24"/>
        </w:rPr>
        <w:t>的同配合比的轻骨料混凝土，取样不得少于一</w:t>
      </w:r>
      <w:r>
        <w:rPr>
          <w:rFonts w:ascii="宋体" w:hAnsi="宋体" w:eastAsia="宋体" w:cs="宋体"/>
          <w:sz w:val="24"/>
          <w:szCs w:val="24"/>
        </w:rPr>
        <w:t xml:space="preserve"> </w:t>
      </w:r>
      <w:r>
        <w:rPr>
          <w:rFonts w:ascii="宋体" w:hAnsi="宋体" w:eastAsia="宋体" w:cs="宋体"/>
          <w:spacing w:val="-18"/>
          <w:sz w:val="24"/>
          <w:szCs w:val="24"/>
        </w:rPr>
        <w:t>次；</w:t>
      </w:r>
    </w:p>
    <w:p w14:paraId="44D1326E">
      <w:pPr>
        <w:spacing w:before="153" w:line="220" w:lineRule="auto"/>
        <w:ind w:left="479"/>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每工作班拌制的同一配合比的混凝土不足</w:t>
      </w:r>
      <w:r>
        <w:rPr>
          <w:rFonts w:ascii="宋体" w:hAnsi="宋体" w:eastAsia="宋体" w:cs="宋体"/>
          <w:spacing w:val="-21"/>
          <w:sz w:val="24"/>
          <w:szCs w:val="24"/>
        </w:rPr>
        <w:t xml:space="preserve"> </w:t>
      </w:r>
      <w:r>
        <w:rPr>
          <w:rFonts w:ascii="Times New Roman" w:hAnsi="Times New Roman" w:eastAsia="Times New Roman" w:cs="Times New Roman"/>
          <w:spacing w:val="-2"/>
          <w:sz w:val="24"/>
          <w:szCs w:val="24"/>
        </w:rPr>
        <w:t xml:space="preserve">100 </w:t>
      </w:r>
      <w:r>
        <w:rPr>
          <w:rFonts w:ascii="宋体" w:hAnsi="宋体" w:eastAsia="宋体" w:cs="宋体"/>
          <w:spacing w:val="-2"/>
          <w:sz w:val="24"/>
          <w:szCs w:val="24"/>
        </w:rPr>
        <w:t>盘时，取样不得少于一次；</w:t>
      </w:r>
    </w:p>
    <w:p w14:paraId="0DDBF1DD">
      <w:pPr>
        <w:spacing w:before="155" w:line="279" w:lineRule="auto"/>
        <w:ind w:left="5" w:right="15" w:firstLine="479"/>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当一次连续浇筑超过</w:t>
      </w:r>
      <w:r>
        <w:rPr>
          <w:rFonts w:ascii="宋体" w:hAnsi="宋体" w:eastAsia="宋体" w:cs="宋体"/>
          <w:spacing w:val="-15"/>
          <w:sz w:val="24"/>
          <w:szCs w:val="24"/>
        </w:rPr>
        <w:t xml:space="preserve"> </w:t>
      </w:r>
      <w:r>
        <w:rPr>
          <w:rFonts w:ascii="Times New Roman" w:hAnsi="Times New Roman" w:eastAsia="Times New Roman" w:cs="Times New Roman"/>
          <w:spacing w:val="-2"/>
          <w:sz w:val="24"/>
          <w:szCs w:val="24"/>
        </w:rPr>
        <w:t>1000m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4"/>
          <w:position w:val="8"/>
          <w:sz w:val="15"/>
          <w:szCs w:val="15"/>
        </w:rPr>
        <w:t xml:space="preserve"> </w:t>
      </w:r>
      <w:r>
        <w:rPr>
          <w:rFonts w:ascii="宋体" w:hAnsi="宋体" w:eastAsia="宋体" w:cs="宋体"/>
          <w:spacing w:val="-2"/>
          <w:sz w:val="24"/>
          <w:szCs w:val="24"/>
        </w:rPr>
        <w:t>时，同一配合比的轻骨料混凝土每</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15"/>
          <w:position w:val="8"/>
          <w:sz w:val="15"/>
          <w:szCs w:val="15"/>
        </w:rPr>
        <w:t xml:space="preserve"> </w:t>
      </w:r>
      <w:r>
        <w:rPr>
          <w:rFonts w:ascii="宋体" w:hAnsi="宋体" w:eastAsia="宋体" w:cs="宋体"/>
          <w:spacing w:val="-2"/>
          <w:sz w:val="24"/>
          <w:szCs w:val="24"/>
        </w:rPr>
        <w:t>取样不得</w:t>
      </w:r>
      <w:r>
        <w:rPr>
          <w:rFonts w:ascii="宋体" w:hAnsi="宋体" w:eastAsia="宋体" w:cs="宋体"/>
          <w:sz w:val="24"/>
          <w:szCs w:val="24"/>
        </w:rPr>
        <w:t xml:space="preserve"> </w:t>
      </w:r>
      <w:r>
        <w:rPr>
          <w:rFonts w:ascii="宋体" w:hAnsi="宋体" w:eastAsia="宋体" w:cs="宋体"/>
          <w:spacing w:val="-8"/>
          <w:sz w:val="24"/>
          <w:szCs w:val="24"/>
        </w:rPr>
        <w:t>少于一次；</w:t>
      </w:r>
    </w:p>
    <w:p w14:paraId="4555B07A">
      <w:pPr>
        <w:spacing w:before="154" w:line="220" w:lineRule="auto"/>
        <w:ind w:left="478"/>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每一层楼、同一配合比的轻骨料混凝土，取样不得少于</w:t>
      </w:r>
      <w:r>
        <w:rPr>
          <w:rFonts w:ascii="宋体" w:hAnsi="宋体" w:eastAsia="宋体" w:cs="宋体"/>
          <w:spacing w:val="-2"/>
          <w:sz w:val="24"/>
          <w:szCs w:val="24"/>
        </w:rPr>
        <w:t>一次；</w:t>
      </w:r>
    </w:p>
    <w:p w14:paraId="379C2959">
      <w:pPr>
        <w:spacing w:before="153" w:line="280" w:lineRule="auto"/>
        <w:ind w:left="21" w:right="150" w:firstLine="465"/>
        <w:rPr>
          <w:rFonts w:ascii="宋体" w:hAnsi="宋体" w:eastAsia="宋体" w:cs="宋体"/>
          <w:sz w:val="24"/>
          <w:szCs w:val="24"/>
        </w:rPr>
      </w:pPr>
      <w:r>
        <w:rPr>
          <w:rFonts w:ascii="Times New Roman" w:hAnsi="Times New Roman" w:eastAsia="Times New Roman" w:cs="Times New Roman"/>
          <w:sz w:val="24"/>
          <w:szCs w:val="24"/>
        </w:rPr>
        <w:t xml:space="preserve">5  </w:t>
      </w:r>
      <w:r>
        <w:rPr>
          <w:rFonts w:ascii="宋体" w:hAnsi="宋体" w:eastAsia="宋体" w:cs="宋体"/>
          <w:sz w:val="24"/>
          <w:szCs w:val="24"/>
        </w:rPr>
        <w:t>每次取样应至少留置一组标准养护试件，同条件</w:t>
      </w:r>
      <w:r>
        <w:rPr>
          <w:rFonts w:ascii="宋体" w:hAnsi="宋体" w:eastAsia="宋体" w:cs="宋体"/>
          <w:spacing w:val="-1"/>
          <w:sz w:val="24"/>
          <w:szCs w:val="24"/>
        </w:rPr>
        <w:t>养护试件的留置组数应根据实</w:t>
      </w:r>
      <w:r>
        <w:rPr>
          <w:rFonts w:ascii="宋体" w:hAnsi="宋体" w:eastAsia="宋体" w:cs="宋体"/>
          <w:sz w:val="24"/>
          <w:szCs w:val="24"/>
        </w:rPr>
        <w:t xml:space="preserve"> </w:t>
      </w:r>
      <w:r>
        <w:rPr>
          <w:rFonts w:ascii="宋体" w:hAnsi="宋体" w:eastAsia="宋体" w:cs="宋体"/>
          <w:spacing w:val="-9"/>
          <w:sz w:val="24"/>
          <w:szCs w:val="24"/>
        </w:rPr>
        <w:t>际需要确定。</w:t>
      </w:r>
    </w:p>
    <w:p w14:paraId="57821E0E">
      <w:pPr>
        <w:spacing w:before="201" w:line="226" w:lineRule="auto"/>
        <w:ind w:left="13"/>
        <w:outlineLvl w:val="1"/>
        <w:rPr>
          <w:rFonts w:ascii="宋体" w:hAnsi="宋体" w:eastAsia="宋体" w:cs="宋体"/>
          <w:sz w:val="27"/>
          <w:szCs w:val="27"/>
        </w:rPr>
      </w:pPr>
      <w:bookmarkStart w:id="34" w:name="bookmark82"/>
      <w:bookmarkEnd w:id="34"/>
      <w:r>
        <w:rPr>
          <w:rFonts w:ascii="Times New Roman" w:hAnsi="Times New Roman" w:eastAsia="Times New Roman" w:cs="Times New Roman"/>
          <w:b/>
          <w:bCs/>
          <w:spacing w:val="5"/>
          <w:sz w:val="27"/>
          <w:szCs w:val="27"/>
        </w:rPr>
        <w:t>18.</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 xml:space="preserve">18-2012  </w:t>
      </w:r>
      <w:r>
        <w:rPr>
          <w:rFonts w:ascii="宋体" w:hAnsi="宋体" w:eastAsia="宋体" w:cs="宋体"/>
          <w:b/>
          <w:bCs/>
          <w:spacing w:val="5"/>
          <w:sz w:val="27"/>
          <w:szCs w:val="27"/>
        </w:rPr>
        <w:t>钢筋焊接及验收规程</w:t>
      </w:r>
    </w:p>
    <w:p w14:paraId="38C0ED19">
      <w:pPr>
        <w:spacing w:before="285" w:line="220" w:lineRule="auto"/>
        <w:ind w:left="4"/>
        <w:rPr>
          <w:rFonts w:ascii="宋体" w:hAnsi="宋体" w:eastAsia="宋体" w:cs="宋体"/>
          <w:sz w:val="24"/>
          <w:szCs w:val="24"/>
        </w:rPr>
      </w:pPr>
      <w:r>
        <w:rPr>
          <w:rFonts w:ascii="宋体" w:hAnsi="宋体" w:eastAsia="宋体" w:cs="宋体"/>
          <w:b/>
          <w:bCs/>
          <w:color w:val="EE0000"/>
          <w:spacing w:val="-2"/>
          <w:sz w:val="24"/>
          <w:szCs w:val="24"/>
        </w:rPr>
        <w:t>通用规范《</w:t>
      </w:r>
      <w:r>
        <w:rPr>
          <w:rFonts w:ascii="Times New Roman" w:hAnsi="Times New Roman" w:eastAsia="Times New Roman" w:cs="Times New Roman"/>
          <w:b/>
          <w:bCs/>
          <w:color w:val="0563C1"/>
          <w:spacing w:val="-2"/>
          <w:sz w:val="24"/>
          <w:szCs w:val="24"/>
          <w:u w:val="single" w:color="auto"/>
        </w:rPr>
        <w:t xml:space="preserve">GB55008-2021 </w:t>
      </w:r>
      <w:r>
        <w:rPr>
          <w:rFonts w:ascii="宋体" w:hAnsi="宋体" w:eastAsia="宋体" w:cs="宋体"/>
          <w:b/>
          <w:bCs/>
          <w:color w:val="0563C1"/>
          <w:spacing w:val="-2"/>
          <w:sz w:val="24"/>
          <w:szCs w:val="24"/>
          <w:u w:val="single" w:color="auto"/>
        </w:rPr>
        <w:t>混凝土结构通用规范</w:t>
      </w:r>
      <w:r>
        <w:rPr>
          <w:rFonts w:ascii="宋体" w:hAnsi="宋体" w:eastAsia="宋体" w:cs="宋体"/>
          <w:b/>
          <w:bCs/>
          <w:color w:val="EE0000"/>
          <w:spacing w:val="-2"/>
          <w:sz w:val="24"/>
          <w:szCs w:val="24"/>
        </w:rPr>
        <w:t>》废止条文</w:t>
      </w:r>
      <w:r>
        <w:rPr>
          <w:rFonts w:ascii="宋体" w:hAnsi="宋体" w:eastAsia="宋体" w:cs="宋体"/>
          <w:spacing w:val="-2"/>
          <w:sz w:val="24"/>
          <w:szCs w:val="24"/>
        </w:rPr>
        <w:t>，第</w:t>
      </w:r>
      <w:r>
        <w:rPr>
          <w:rFonts w:ascii="宋体" w:hAnsi="宋体" w:eastAsia="宋体" w:cs="宋体"/>
          <w:spacing w:val="-34"/>
          <w:sz w:val="24"/>
          <w:szCs w:val="24"/>
        </w:rPr>
        <w:t xml:space="preserve"> </w:t>
      </w:r>
      <w:r>
        <w:rPr>
          <w:rFonts w:ascii="Times New Roman" w:hAnsi="Times New Roman" w:eastAsia="Times New Roman" w:cs="Times New Roman"/>
          <w:spacing w:val="-2"/>
          <w:sz w:val="24"/>
          <w:szCs w:val="24"/>
        </w:rPr>
        <w:t>3.0.6</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4.1.3</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5.1.7</w:t>
      </w:r>
      <w:r>
        <w:rPr>
          <w:rFonts w:ascii="宋体" w:hAnsi="宋体" w:eastAsia="宋体" w:cs="宋体"/>
          <w:spacing w:val="-3"/>
          <w:sz w:val="24"/>
          <w:szCs w:val="24"/>
        </w:rPr>
        <w:t>、</w:t>
      </w:r>
    </w:p>
    <w:p w14:paraId="57F50094">
      <w:pPr>
        <w:spacing w:before="154"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5.1.8</w:t>
      </w:r>
      <w:r>
        <w:rPr>
          <w:rFonts w:ascii="Times New Roman" w:hAnsi="Times New Roman" w:eastAsia="Times New Roman" w:cs="Times New Roman"/>
          <w:spacing w:val="-17"/>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6.0.1</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7.0.4 </w:t>
      </w:r>
      <w:r>
        <w:rPr>
          <w:rFonts w:ascii="宋体" w:hAnsi="宋体" w:eastAsia="宋体" w:cs="宋体"/>
          <w:spacing w:val="-3"/>
          <w:sz w:val="24"/>
          <w:szCs w:val="24"/>
        </w:rPr>
        <w:t>条，但不是以下条目</w:t>
      </w:r>
    </w:p>
    <w:p w14:paraId="4C491D98">
      <w:pPr>
        <w:spacing w:before="154" w:line="279" w:lineRule="auto"/>
        <w:ind w:left="23" w:right="150"/>
        <w:rPr>
          <w:rFonts w:ascii="宋体" w:hAnsi="宋体" w:eastAsia="宋体" w:cs="宋体"/>
          <w:sz w:val="24"/>
          <w:szCs w:val="24"/>
        </w:rPr>
      </w:pPr>
      <w:r>
        <w:rPr>
          <w:rFonts w:ascii="Times New Roman" w:hAnsi="Times New Roman" w:eastAsia="Times New Roman" w:cs="Times New Roman"/>
          <w:spacing w:val="-1"/>
          <w:sz w:val="24"/>
          <w:szCs w:val="24"/>
        </w:rPr>
        <w:t xml:space="preserve">1.0.4    </w:t>
      </w:r>
      <w:r>
        <w:rPr>
          <w:rFonts w:ascii="宋体" w:hAnsi="宋体" w:eastAsia="宋体" w:cs="宋体"/>
          <w:spacing w:val="-1"/>
          <w:sz w:val="24"/>
          <w:szCs w:val="24"/>
        </w:rPr>
        <w:t>从事钢筋焊接施工的焊工必须持有钢筋焊工考试合格证，才能按照合格证规定</w:t>
      </w:r>
      <w:r>
        <w:rPr>
          <w:rFonts w:ascii="宋体" w:hAnsi="宋体" w:eastAsia="宋体" w:cs="宋体"/>
          <w:spacing w:val="13"/>
          <w:sz w:val="24"/>
          <w:szCs w:val="24"/>
        </w:rPr>
        <w:t xml:space="preserve"> </w:t>
      </w:r>
      <w:r>
        <w:rPr>
          <w:rFonts w:ascii="宋体" w:hAnsi="宋体" w:eastAsia="宋体" w:cs="宋体"/>
          <w:spacing w:val="-7"/>
          <w:sz w:val="24"/>
          <w:szCs w:val="24"/>
        </w:rPr>
        <w:t>的范围上岗操作。</w:t>
      </w:r>
    </w:p>
    <w:p w14:paraId="7275D169">
      <w:pPr>
        <w:spacing w:line="279" w:lineRule="auto"/>
        <w:rPr>
          <w:rFonts w:ascii="宋体" w:hAnsi="宋体" w:eastAsia="宋体" w:cs="宋体"/>
          <w:sz w:val="24"/>
          <w:szCs w:val="24"/>
        </w:rPr>
        <w:sectPr>
          <w:footerReference r:id="rId30" w:type="default"/>
          <w:pgSz w:w="11907" w:h="16839"/>
          <w:pgMar w:top="400" w:right="1459" w:bottom="743" w:left="1422" w:header="0" w:footer="582" w:gutter="0"/>
          <w:cols w:space="720" w:num="1"/>
        </w:sectPr>
      </w:pPr>
    </w:p>
    <w:p w14:paraId="14C6D3DE">
      <w:pPr>
        <w:pStyle w:val="2"/>
        <w:spacing w:line="303" w:lineRule="auto"/>
      </w:pPr>
    </w:p>
    <w:p w14:paraId="3B248193">
      <w:pPr>
        <w:pStyle w:val="2"/>
        <w:spacing w:line="303" w:lineRule="auto"/>
      </w:pPr>
    </w:p>
    <w:p w14:paraId="2104BA87">
      <w:pPr>
        <w:pStyle w:val="2"/>
        <w:spacing w:line="303" w:lineRule="auto"/>
      </w:pPr>
    </w:p>
    <w:p w14:paraId="01DF3F03">
      <w:pPr>
        <w:spacing w:before="78" w:line="279" w:lineRule="auto"/>
        <w:ind w:left="5" w:right="180"/>
        <w:rPr>
          <w:rFonts w:ascii="宋体" w:hAnsi="宋体" w:eastAsia="宋体" w:cs="宋体"/>
          <w:sz w:val="24"/>
          <w:szCs w:val="24"/>
        </w:rPr>
      </w:pPr>
      <w:r>
        <w:rPr>
          <w:rFonts w:ascii="Times New Roman" w:hAnsi="Times New Roman" w:eastAsia="Times New Roman" w:cs="Times New Roman"/>
          <w:sz w:val="24"/>
          <w:szCs w:val="24"/>
        </w:rPr>
        <w:t xml:space="preserve">3.0.8    </w:t>
      </w:r>
      <w:r>
        <w:rPr>
          <w:rFonts w:ascii="宋体" w:hAnsi="宋体" w:eastAsia="宋体" w:cs="宋体"/>
          <w:sz w:val="24"/>
          <w:szCs w:val="24"/>
        </w:rPr>
        <w:t>凡施焊的各种钢筋、钢板均应有质量证明书；焊条、</w:t>
      </w:r>
      <w:r>
        <w:rPr>
          <w:rFonts w:ascii="宋体" w:hAnsi="宋体" w:eastAsia="宋体" w:cs="宋体"/>
          <w:spacing w:val="-1"/>
          <w:sz w:val="24"/>
          <w:szCs w:val="24"/>
        </w:rPr>
        <w:t>焊丝、氧气、乙炔、液化</w:t>
      </w:r>
      <w:r>
        <w:rPr>
          <w:rFonts w:ascii="宋体" w:hAnsi="宋体" w:eastAsia="宋体" w:cs="宋体"/>
          <w:sz w:val="24"/>
          <w:szCs w:val="24"/>
        </w:rPr>
        <w:t xml:space="preserve"> </w:t>
      </w:r>
      <w:r>
        <w:rPr>
          <w:rFonts w:ascii="宋体" w:hAnsi="宋体" w:eastAsia="宋体" w:cs="宋体"/>
          <w:spacing w:val="-3"/>
          <w:sz w:val="24"/>
          <w:szCs w:val="24"/>
        </w:rPr>
        <w:t>石油气、二氧化碳、焊剂应有产品合格证。</w:t>
      </w:r>
    </w:p>
    <w:p w14:paraId="32916950">
      <w:pPr>
        <w:spacing w:before="155" w:line="279" w:lineRule="auto"/>
        <w:ind w:left="5" w:right="180" w:hanging="5"/>
        <w:rPr>
          <w:rFonts w:ascii="宋体" w:hAnsi="宋体" w:eastAsia="宋体" w:cs="宋体"/>
          <w:sz w:val="24"/>
          <w:szCs w:val="24"/>
        </w:rPr>
      </w:pPr>
      <w:r>
        <w:rPr>
          <w:rFonts w:ascii="Times New Roman" w:hAnsi="Times New Roman" w:eastAsia="Times New Roman" w:cs="Times New Roman"/>
          <w:color w:val="FF0000"/>
          <w:sz w:val="24"/>
          <w:szCs w:val="24"/>
        </w:rPr>
        <w:t xml:space="preserve">4.1.4    </w:t>
      </w:r>
      <w:r>
        <w:rPr>
          <w:rFonts w:ascii="宋体" w:hAnsi="宋体" w:eastAsia="宋体" w:cs="宋体"/>
          <w:color w:val="FF0000"/>
          <w:sz w:val="24"/>
          <w:szCs w:val="24"/>
        </w:rPr>
        <w:t>在工程开工正式焊接之前，参与该项施焊的焊工应进行现场条件下</w:t>
      </w:r>
      <w:r>
        <w:rPr>
          <w:rFonts w:ascii="宋体" w:hAnsi="宋体" w:eastAsia="宋体" w:cs="宋体"/>
          <w:color w:val="FF0000"/>
          <w:spacing w:val="-1"/>
          <w:sz w:val="24"/>
          <w:szCs w:val="24"/>
        </w:rPr>
        <w:t>的焊接工艺</w:t>
      </w:r>
      <w:r>
        <w:rPr>
          <w:rFonts w:ascii="宋体" w:hAnsi="宋体" w:eastAsia="宋体" w:cs="宋体"/>
          <w:color w:val="FF0000"/>
          <w:sz w:val="24"/>
          <w:szCs w:val="24"/>
        </w:rPr>
        <w:t xml:space="preserve"> </w:t>
      </w:r>
      <w:r>
        <w:rPr>
          <w:rFonts w:ascii="宋体" w:hAnsi="宋体" w:eastAsia="宋体" w:cs="宋体"/>
          <w:color w:val="FF0000"/>
          <w:spacing w:val="-1"/>
          <w:sz w:val="24"/>
          <w:szCs w:val="24"/>
        </w:rPr>
        <w:t>试验，并经试验合格后，方可正式生产。</w:t>
      </w:r>
      <w:r>
        <w:rPr>
          <w:rFonts w:ascii="宋体" w:hAnsi="宋体" w:eastAsia="宋体" w:cs="宋体"/>
          <w:spacing w:val="-1"/>
          <w:sz w:val="24"/>
          <w:szCs w:val="24"/>
        </w:rPr>
        <w:t>试验结果应符合质量检验与验</w:t>
      </w:r>
      <w:r>
        <w:rPr>
          <w:rFonts w:ascii="宋体" w:hAnsi="宋体" w:eastAsia="宋体" w:cs="宋体"/>
          <w:spacing w:val="-2"/>
          <w:sz w:val="24"/>
          <w:szCs w:val="24"/>
        </w:rPr>
        <w:t>收时的要求。</w:t>
      </w:r>
    </w:p>
    <w:p w14:paraId="30C69181">
      <w:pPr>
        <w:spacing w:before="154" w:line="279" w:lineRule="auto"/>
        <w:ind w:left="6" w:right="180" w:firstLine="1"/>
        <w:rPr>
          <w:rFonts w:ascii="宋体" w:hAnsi="宋体" w:eastAsia="宋体" w:cs="宋体"/>
          <w:sz w:val="24"/>
          <w:szCs w:val="24"/>
        </w:rPr>
      </w:pPr>
      <w:r>
        <w:rPr>
          <w:rFonts w:ascii="Times New Roman" w:hAnsi="Times New Roman" w:eastAsia="Times New Roman" w:cs="Times New Roman"/>
          <w:sz w:val="24"/>
          <w:szCs w:val="24"/>
        </w:rPr>
        <w:t xml:space="preserve">5.1.9    </w:t>
      </w:r>
      <w:r>
        <w:rPr>
          <w:rFonts w:ascii="宋体" w:hAnsi="宋体" w:eastAsia="宋体" w:cs="宋体"/>
          <w:sz w:val="24"/>
          <w:szCs w:val="24"/>
        </w:rPr>
        <w:t>钢筋闪光对焊接头、电弧焊接头、电渣压力焊接</w:t>
      </w:r>
      <w:r>
        <w:rPr>
          <w:rFonts w:ascii="宋体" w:hAnsi="宋体" w:eastAsia="宋体" w:cs="宋体"/>
          <w:spacing w:val="-1"/>
          <w:sz w:val="24"/>
          <w:szCs w:val="24"/>
        </w:rPr>
        <w:t>头、气压焊接头、箍筋闪光对</w:t>
      </w:r>
      <w:r>
        <w:rPr>
          <w:rFonts w:ascii="宋体" w:hAnsi="宋体" w:eastAsia="宋体" w:cs="宋体"/>
          <w:sz w:val="24"/>
          <w:szCs w:val="24"/>
        </w:rPr>
        <w:t xml:space="preserve"> </w:t>
      </w:r>
      <w:r>
        <w:rPr>
          <w:rFonts w:ascii="宋体" w:hAnsi="宋体" w:eastAsia="宋体" w:cs="宋体"/>
          <w:spacing w:val="-2"/>
          <w:sz w:val="24"/>
          <w:szCs w:val="24"/>
        </w:rPr>
        <w:t>焊接头、预埋件钢筋</w:t>
      </w:r>
      <w:r>
        <w:rPr>
          <w:rFonts w:ascii="宋体" w:hAnsi="宋体" w:eastAsia="宋体" w:cs="宋体"/>
          <w:spacing w:val="-53"/>
          <w:sz w:val="24"/>
          <w:szCs w:val="24"/>
        </w:rPr>
        <w:t xml:space="preserve"> </w:t>
      </w:r>
      <w:r>
        <w:rPr>
          <w:rFonts w:ascii="Times New Roman" w:hAnsi="Times New Roman" w:eastAsia="Times New Roman" w:cs="Times New Roman"/>
          <w:spacing w:val="-2"/>
          <w:sz w:val="24"/>
          <w:szCs w:val="24"/>
        </w:rPr>
        <w:t xml:space="preserve">T  </w:t>
      </w:r>
      <w:r>
        <w:rPr>
          <w:rFonts w:ascii="宋体" w:hAnsi="宋体" w:eastAsia="宋体" w:cs="宋体"/>
          <w:spacing w:val="-2"/>
          <w:sz w:val="24"/>
          <w:szCs w:val="24"/>
        </w:rPr>
        <w:t>形接头的拉伸试验结果评定如下。</w:t>
      </w:r>
    </w:p>
    <w:p w14:paraId="4E940BB7">
      <w:pPr>
        <w:spacing w:before="154" w:line="220" w:lineRule="auto"/>
        <w:ind w:left="504"/>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符合下列条件之一，评定为合格。</w:t>
      </w:r>
    </w:p>
    <w:p w14:paraId="5F37DA66">
      <w:pPr>
        <w:spacing w:before="154" w:line="279" w:lineRule="auto"/>
        <w:ind w:left="7" w:right="120" w:firstLine="477"/>
        <w:rPr>
          <w:rFonts w:ascii="宋体" w:hAnsi="宋体" w:eastAsia="宋体" w:cs="宋体"/>
          <w:sz w:val="24"/>
          <w:szCs w:val="24"/>
        </w:rPr>
      </w:pPr>
      <w:r>
        <w:rPr>
          <w:rFonts w:ascii="宋体" w:hAnsi="宋体" w:eastAsia="宋体" w:cs="宋体"/>
          <w:sz w:val="24"/>
          <w:szCs w:val="24"/>
        </w:rPr>
        <w:t xml:space="preserve">① </w:t>
      </w:r>
      <w:r>
        <w:rPr>
          <w:rFonts w:ascii="Times New Roman" w:hAnsi="Times New Roman" w:eastAsia="Times New Roman" w:cs="Times New Roman"/>
          <w:sz w:val="24"/>
          <w:szCs w:val="24"/>
        </w:rPr>
        <w:t xml:space="preserve">3 </w:t>
      </w:r>
      <w:r>
        <w:rPr>
          <w:rFonts w:ascii="宋体" w:hAnsi="宋体" w:eastAsia="宋体" w:cs="宋体"/>
          <w:sz w:val="24"/>
          <w:szCs w:val="24"/>
        </w:rPr>
        <w:t>个试件均断于钢筋母材，延性断裂，抗拉强度大于等</w:t>
      </w:r>
      <w:r>
        <w:rPr>
          <w:rFonts w:ascii="宋体" w:hAnsi="宋体" w:eastAsia="宋体" w:cs="宋体"/>
          <w:spacing w:val="-1"/>
          <w:sz w:val="24"/>
          <w:szCs w:val="24"/>
        </w:rPr>
        <w:t>于钢筋母材抗拉强度标</w:t>
      </w:r>
      <w:r>
        <w:rPr>
          <w:rFonts w:ascii="宋体" w:hAnsi="宋体" w:eastAsia="宋体" w:cs="宋体"/>
          <w:sz w:val="24"/>
          <w:szCs w:val="24"/>
        </w:rPr>
        <w:t xml:space="preserve"> </w:t>
      </w:r>
      <w:r>
        <w:rPr>
          <w:rFonts w:ascii="宋体" w:hAnsi="宋体" w:eastAsia="宋体" w:cs="宋体"/>
          <w:spacing w:val="-11"/>
          <w:sz w:val="24"/>
          <w:szCs w:val="24"/>
        </w:rPr>
        <w:t>准值。</w:t>
      </w:r>
    </w:p>
    <w:p w14:paraId="0CA9D2BB">
      <w:pPr>
        <w:spacing w:before="156" w:line="298" w:lineRule="auto"/>
        <w:ind w:left="5" w:firstLine="478"/>
        <w:rPr>
          <w:rFonts w:ascii="宋体" w:hAnsi="宋体" w:eastAsia="宋体" w:cs="宋体"/>
          <w:sz w:val="24"/>
          <w:szCs w:val="24"/>
        </w:rPr>
      </w:pPr>
      <w:r>
        <w:rPr>
          <w:rFonts w:ascii="宋体" w:hAnsi="宋体" w:eastAsia="宋体" w:cs="宋体"/>
          <w:sz w:val="24"/>
          <w:szCs w:val="24"/>
        </w:rPr>
        <w:t xml:space="preserve">② </w:t>
      </w:r>
      <w:r>
        <w:rPr>
          <w:rFonts w:ascii="Times New Roman" w:hAnsi="Times New Roman" w:eastAsia="Times New Roman" w:cs="Times New Roman"/>
          <w:sz w:val="24"/>
          <w:szCs w:val="24"/>
        </w:rPr>
        <w:t xml:space="preserve">2 </w:t>
      </w:r>
      <w:r>
        <w:rPr>
          <w:rFonts w:ascii="宋体" w:hAnsi="宋体" w:eastAsia="宋体" w:cs="宋体"/>
          <w:sz w:val="24"/>
          <w:szCs w:val="24"/>
        </w:rPr>
        <w:t>个试件断于钢筋母材，延性断裂，抗拉强度大于等于钢</w:t>
      </w:r>
      <w:r>
        <w:rPr>
          <w:rFonts w:ascii="宋体" w:hAnsi="宋体" w:eastAsia="宋体" w:cs="宋体"/>
          <w:spacing w:val="-1"/>
          <w:sz w:val="24"/>
          <w:szCs w:val="24"/>
        </w:rPr>
        <w:t>筋母材抗拉强度标准</w:t>
      </w:r>
      <w:r>
        <w:rPr>
          <w:rFonts w:ascii="宋体" w:hAnsi="宋体" w:eastAsia="宋体" w:cs="宋体"/>
          <w:sz w:val="24"/>
          <w:szCs w:val="24"/>
        </w:rPr>
        <w:t xml:space="preserve">  值；</w:t>
      </w:r>
      <w:r>
        <w:rPr>
          <w:rFonts w:ascii="Times New Roman" w:hAnsi="Times New Roman" w:eastAsia="Times New Roman" w:cs="Times New Roman"/>
          <w:sz w:val="24"/>
          <w:szCs w:val="24"/>
        </w:rPr>
        <w:t xml:space="preserve">1 </w:t>
      </w:r>
      <w:r>
        <w:rPr>
          <w:rFonts w:ascii="宋体" w:hAnsi="宋体" w:eastAsia="宋体" w:cs="宋体"/>
          <w:sz w:val="24"/>
          <w:szCs w:val="24"/>
        </w:rPr>
        <w:t>个试件断于焊缝，或热影响区，脆性断裂，或延性断裂</w:t>
      </w:r>
      <w:r>
        <w:rPr>
          <w:rFonts w:ascii="宋体" w:hAnsi="宋体" w:eastAsia="宋体" w:cs="宋体"/>
          <w:spacing w:val="-1"/>
          <w:sz w:val="24"/>
          <w:szCs w:val="24"/>
        </w:rPr>
        <w:t>，抗拉强度大于等于钢筋</w:t>
      </w:r>
      <w:r>
        <w:rPr>
          <w:rFonts w:ascii="宋体" w:hAnsi="宋体" w:eastAsia="宋体" w:cs="宋体"/>
          <w:sz w:val="24"/>
          <w:szCs w:val="24"/>
        </w:rPr>
        <w:t xml:space="preserve"> </w:t>
      </w:r>
      <w:r>
        <w:rPr>
          <w:rFonts w:ascii="宋体" w:hAnsi="宋体" w:eastAsia="宋体" w:cs="宋体"/>
          <w:spacing w:val="-4"/>
          <w:sz w:val="24"/>
          <w:szCs w:val="24"/>
        </w:rPr>
        <w:t>母材抗拉强度标准值。</w:t>
      </w:r>
    </w:p>
    <w:p w14:paraId="6712FA40">
      <w:pPr>
        <w:spacing w:before="155" w:line="220"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符合下列条件之一，评定为复验。</w:t>
      </w:r>
    </w:p>
    <w:p w14:paraId="0DF9F7B0">
      <w:pPr>
        <w:spacing w:before="157" w:line="298" w:lineRule="auto"/>
        <w:ind w:left="5" w:firstLine="479"/>
        <w:rPr>
          <w:rFonts w:ascii="宋体" w:hAnsi="宋体" w:eastAsia="宋体" w:cs="宋体"/>
          <w:sz w:val="24"/>
          <w:szCs w:val="24"/>
        </w:rPr>
      </w:pPr>
      <w:r>
        <w:rPr>
          <w:rFonts w:ascii="宋体" w:hAnsi="宋体" w:eastAsia="宋体" w:cs="宋体"/>
          <w:sz w:val="24"/>
          <w:szCs w:val="24"/>
        </w:rPr>
        <w:t xml:space="preserve">① </w:t>
      </w:r>
      <w:r>
        <w:rPr>
          <w:rFonts w:ascii="Times New Roman" w:hAnsi="Times New Roman" w:eastAsia="Times New Roman" w:cs="Times New Roman"/>
          <w:sz w:val="24"/>
          <w:szCs w:val="24"/>
        </w:rPr>
        <w:t xml:space="preserve">2 </w:t>
      </w:r>
      <w:r>
        <w:rPr>
          <w:rFonts w:ascii="宋体" w:hAnsi="宋体" w:eastAsia="宋体" w:cs="宋体"/>
          <w:sz w:val="24"/>
          <w:szCs w:val="24"/>
        </w:rPr>
        <w:t>个试件断于钢筋母材，延性断裂，抗拉强度大于等于</w:t>
      </w:r>
      <w:r>
        <w:rPr>
          <w:rFonts w:ascii="宋体" w:hAnsi="宋体" w:eastAsia="宋体" w:cs="宋体"/>
          <w:spacing w:val="-1"/>
          <w:sz w:val="24"/>
          <w:szCs w:val="24"/>
        </w:rPr>
        <w:t>钢筋母材抗拉强度标准</w:t>
      </w:r>
      <w:r>
        <w:rPr>
          <w:rFonts w:ascii="宋体" w:hAnsi="宋体" w:eastAsia="宋体" w:cs="宋体"/>
          <w:sz w:val="24"/>
          <w:szCs w:val="24"/>
        </w:rPr>
        <w:t xml:space="preserve">  值；</w:t>
      </w:r>
      <w:r>
        <w:rPr>
          <w:rFonts w:ascii="Times New Roman" w:hAnsi="Times New Roman" w:eastAsia="Times New Roman" w:cs="Times New Roman"/>
          <w:sz w:val="24"/>
          <w:szCs w:val="24"/>
        </w:rPr>
        <w:t xml:space="preserve">1 </w:t>
      </w:r>
      <w:r>
        <w:rPr>
          <w:rFonts w:ascii="宋体" w:hAnsi="宋体" w:eastAsia="宋体" w:cs="宋体"/>
          <w:sz w:val="24"/>
          <w:szCs w:val="24"/>
        </w:rPr>
        <w:t>个试件断于焊缝，或热影响区，呈脆性断裂，或延性断</w:t>
      </w:r>
      <w:r>
        <w:rPr>
          <w:rFonts w:ascii="宋体" w:hAnsi="宋体" w:eastAsia="宋体" w:cs="宋体"/>
          <w:spacing w:val="-1"/>
          <w:sz w:val="24"/>
          <w:szCs w:val="24"/>
        </w:rPr>
        <w:t>裂，抗拉强度小于钢筋母</w:t>
      </w:r>
      <w:r>
        <w:rPr>
          <w:rFonts w:ascii="宋体" w:hAnsi="宋体" w:eastAsia="宋体" w:cs="宋体"/>
          <w:sz w:val="24"/>
          <w:szCs w:val="24"/>
        </w:rPr>
        <w:t xml:space="preserve"> </w:t>
      </w:r>
      <w:r>
        <w:rPr>
          <w:rFonts w:ascii="宋体" w:hAnsi="宋体" w:eastAsia="宋体" w:cs="宋体"/>
          <w:spacing w:val="-5"/>
          <w:sz w:val="24"/>
          <w:szCs w:val="24"/>
        </w:rPr>
        <w:t>材抗拉强度标准值。</w:t>
      </w:r>
    </w:p>
    <w:p w14:paraId="1881CA5B">
      <w:pPr>
        <w:spacing w:before="155" w:line="299" w:lineRule="auto"/>
        <w:ind w:left="4" w:firstLine="479"/>
        <w:rPr>
          <w:rFonts w:ascii="宋体" w:hAnsi="宋体" w:eastAsia="宋体" w:cs="宋体"/>
          <w:sz w:val="24"/>
          <w:szCs w:val="24"/>
        </w:rPr>
      </w:pPr>
      <w:r>
        <w:rPr>
          <w:rFonts w:ascii="宋体" w:hAnsi="宋体" w:eastAsia="宋体" w:cs="宋体"/>
          <w:sz w:val="24"/>
          <w:szCs w:val="24"/>
        </w:rPr>
        <w:t xml:space="preserve">② </w:t>
      </w:r>
      <w:r>
        <w:rPr>
          <w:rFonts w:ascii="Times New Roman" w:hAnsi="Times New Roman" w:eastAsia="Times New Roman" w:cs="Times New Roman"/>
          <w:sz w:val="24"/>
          <w:szCs w:val="24"/>
        </w:rPr>
        <w:t xml:space="preserve">1 </w:t>
      </w:r>
      <w:r>
        <w:rPr>
          <w:rFonts w:ascii="宋体" w:hAnsi="宋体" w:eastAsia="宋体" w:cs="宋体"/>
          <w:sz w:val="24"/>
          <w:szCs w:val="24"/>
        </w:rPr>
        <w:t>个试件断于钢筋母材，延性断裂，抗拉强度大于等于钢</w:t>
      </w:r>
      <w:r>
        <w:rPr>
          <w:rFonts w:ascii="宋体" w:hAnsi="宋体" w:eastAsia="宋体" w:cs="宋体"/>
          <w:spacing w:val="-1"/>
          <w:sz w:val="24"/>
          <w:szCs w:val="24"/>
        </w:rPr>
        <w:t>筋母材抗拉强度标准</w:t>
      </w:r>
      <w:r>
        <w:rPr>
          <w:rFonts w:ascii="宋体" w:hAnsi="宋体" w:eastAsia="宋体" w:cs="宋体"/>
          <w:sz w:val="24"/>
          <w:szCs w:val="24"/>
        </w:rPr>
        <w:t xml:space="preserve">  值；</w:t>
      </w:r>
      <w:r>
        <w:rPr>
          <w:rFonts w:ascii="Times New Roman" w:hAnsi="Times New Roman" w:eastAsia="Times New Roman" w:cs="Times New Roman"/>
          <w:sz w:val="24"/>
          <w:szCs w:val="24"/>
        </w:rPr>
        <w:t xml:space="preserve">2 </w:t>
      </w:r>
      <w:r>
        <w:rPr>
          <w:rFonts w:ascii="宋体" w:hAnsi="宋体" w:eastAsia="宋体" w:cs="宋体"/>
          <w:sz w:val="24"/>
          <w:szCs w:val="24"/>
        </w:rPr>
        <w:t>个试件断于焊缝，或热影响区，呈脆性断裂，抗拉强度大</w:t>
      </w:r>
      <w:r>
        <w:rPr>
          <w:rFonts w:ascii="宋体" w:hAnsi="宋体" w:eastAsia="宋体" w:cs="宋体"/>
          <w:spacing w:val="-1"/>
          <w:sz w:val="24"/>
          <w:szCs w:val="24"/>
        </w:rPr>
        <w:t>于等于钢筋母材抗拉强</w:t>
      </w:r>
      <w:r>
        <w:rPr>
          <w:rFonts w:ascii="宋体" w:hAnsi="宋体" w:eastAsia="宋体" w:cs="宋体"/>
          <w:sz w:val="24"/>
          <w:szCs w:val="24"/>
        </w:rPr>
        <w:t xml:space="preserve"> </w:t>
      </w:r>
      <w:r>
        <w:rPr>
          <w:rFonts w:ascii="宋体" w:hAnsi="宋体" w:eastAsia="宋体" w:cs="宋体"/>
          <w:spacing w:val="-7"/>
          <w:sz w:val="24"/>
          <w:szCs w:val="24"/>
        </w:rPr>
        <w:t>度标准值。</w:t>
      </w:r>
    </w:p>
    <w:p w14:paraId="0240AF13">
      <w:pPr>
        <w:spacing w:before="155" w:line="278" w:lineRule="auto"/>
        <w:ind w:left="5" w:right="120" w:firstLine="478"/>
        <w:rPr>
          <w:rFonts w:ascii="宋体" w:hAnsi="宋体" w:eastAsia="宋体" w:cs="宋体"/>
          <w:sz w:val="24"/>
          <w:szCs w:val="24"/>
        </w:rPr>
      </w:pPr>
      <w:r>
        <w:rPr>
          <w:rFonts w:ascii="宋体" w:hAnsi="宋体" w:eastAsia="宋体" w:cs="宋体"/>
          <w:sz w:val="24"/>
          <w:szCs w:val="24"/>
        </w:rPr>
        <w:t xml:space="preserve">③ </w:t>
      </w:r>
      <w:r>
        <w:rPr>
          <w:rFonts w:ascii="Times New Roman" w:hAnsi="Times New Roman" w:eastAsia="Times New Roman" w:cs="Times New Roman"/>
          <w:sz w:val="24"/>
          <w:szCs w:val="24"/>
        </w:rPr>
        <w:t xml:space="preserve">3 </w:t>
      </w:r>
      <w:r>
        <w:rPr>
          <w:rFonts w:ascii="宋体" w:hAnsi="宋体" w:eastAsia="宋体" w:cs="宋体"/>
          <w:sz w:val="24"/>
          <w:szCs w:val="24"/>
        </w:rPr>
        <w:t>个试件全部断于焊缝，或热影响区，呈脆性断裂，抗拉</w:t>
      </w:r>
      <w:r>
        <w:rPr>
          <w:rFonts w:ascii="宋体" w:hAnsi="宋体" w:eastAsia="宋体" w:cs="宋体"/>
          <w:spacing w:val="-1"/>
          <w:sz w:val="24"/>
          <w:szCs w:val="24"/>
        </w:rPr>
        <w:t>强度均大于等于钢筋</w:t>
      </w:r>
      <w:r>
        <w:rPr>
          <w:rFonts w:ascii="宋体" w:hAnsi="宋体" w:eastAsia="宋体" w:cs="宋体"/>
          <w:sz w:val="24"/>
          <w:szCs w:val="24"/>
        </w:rPr>
        <w:t xml:space="preserve"> </w:t>
      </w:r>
      <w:r>
        <w:rPr>
          <w:rFonts w:ascii="宋体" w:hAnsi="宋体" w:eastAsia="宋体" w:cs="宋体"/>
          <w:spacing w:val="-4"/>
          <w:sz w:val="24"/>
          <w:szCs w:val="24"/>
        </w:rPr>
        <w:t>母材抗拉强度标准值。</w:t>
      </w:r>
    </w:p>
    <w:p w14:paraId="6E3147D5">
      <w:pPr>
        <w:spacing w:before="155" w:line="299" w:lineRule="auto"/>
        <w:ind w:left="5" w:right="180" w:firstLine="480"/>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复验时，应再切取</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个试件。复验结果，当仍有</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个</w:t>
      </w:r>
      <w:r>
        <w:rPr>
          <w:rFonts w:ascii="宋体" w:hAnsi="宋体" w:eastAsia="宋体" w:cs="宋体"/>
          <w:spacing w:val="-2"/>
          <w:sz w:val="24"/>
          <w:szCs w:val="24"/>
        </w:rPr>
        <w:t>试件的抗拉强度小于钢筋</w:t>
      </w:r>
      <w:r>
        <w:rPr>
          <w:rFonts w:ascii="宋体" w:hAnsi="宋体" w:eastAsia="宋体" w:cs="宋体"/>
          <w:sz w:val="24"/>
          <w:szCs w:val="24"/>
        </w:rPr>
        <w:t xml:space="preserve"> </w:t>
      </w:r>
      <w:r>
        <w:rPr>
          <w:rFonts w:ascii="宋体" w:hAnsi="宋体" w:eastAsia="宋体" w:cs="宋体"/>
          <w:spacing w:val="-1"/>
          <w:sz w:val="24"/>
          <w:szCs w:val="24"/>
        </w:rPr>
        <w:t>母材的抗拉强度标准值；或有</w:t>
      </w:r>
      <w:r>
        <w:rPr>
          <w:rFonts w:ascii="宋体" w:hAnsi="宋体" w:eastAsia="宋体" w:cs="宋体"/>
          <w:spacing w:val="-33"/>
          <w:sz w:val="24"/>
          <w:szCs w:val="24"/>
        </w:rPr>
        <w:t xml:space="preserve"> </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个试件断于焊缝或热影响区，呈脆性断裂，均应判定</w:t>
      </w:r>
      <w:r>
        <w:rPr>
          <w:rFonts w:ascii="宋体" w:hAnsi="宋体" w:eastAsia="宋体" w:cs="宋体"/>
          <w:sz w:val="24"/>
          <w:szCs w:val="24"/>
        </w:rPr>
        <w:t xml:space="preserve"> </w:t>
      </w:r>
      <w:r>
        <w:rPr>
          <w:rFonts w:ascii="宋体" w:hAnsi="宋体" w:eastAsia="宋体" w:cs="宋体"/>
          <w:spacing w:val="-4"/>
          <w:sz w:val="24"/>
          <w:szCs w:val="24"/>
        </w:rPr>
        <w:t>该批接头为不合格品。</w:t>
      </w:r>
    </w:p>
    <w:p w14:paraId="0354579C">
      <w:pPr>
        <w:spacing w:before="155" w:line="219" w:lineRule="auto"/>
        <w:ind w:left="480"/>
        <w:rPr>
          <w:rFonts w:ascii="宋体" w:hAnsi="宋体" w:eastAsia="宋体" w:cs="宋体"/>
          <w:sz w:val="24"/>
          <w:szCs w:val="24"/>
        </w:rPr>
      </w:pP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凡不符合上述复验条件的检验批接头，均评为不合格品。</w:t>
      </w:r>
    </w:p>
    <w:p w14:paraId="07A323C6">
      <w:pPr>
        <w:spacing w:before="157" w:line="278" w:lineRule="auto"/>
        <w:ind w:left="6" w:right="180" w:firstLine="481"/>
        <w:rPr>
          <w:rFonts w:ascii="宋体" w:hAnsi="宋体" w:eastAsia="宋体" w:cs="宋体"/>
          <w:sz w:val="24"/>
          <w:szCs w:val="24"/>
        </w:rPr>
      </w:pPr>
      <w:r>
        <w:rPr>
          <w:rFonts w:ascii="Times New Roman" w:hAnsi="Times New Roman" w:eastAsia="Times New Roman" w:cs="Times New Roman"/>
          <w:sz w:val="24"/>
          <w:szCs w:val="24"/>
        </w:rPr>
        <w:t xml:space="preserve">5  </w:t>
      </w:r>
      <w:r>
        <w:rPr>
          <w:rFonts w:ascii="宋体" w:hAnsi="宋体" w:eastAsia="宋体" w:cs="宋体"/>
          <w:sz w:val="24"/>
          <w:szCs w:val="24"/>
        </w:rPr>
        <w:t>当拉伸试验中，有试件断于钢筋母材，却呈脆性</w:t>
      </w:r>
      <w:r>
        <w:rPr>
          <w:rFonts w:ascii="宋体" w:hAnsi="宋体" w:eastAsia="宋体" w:cs="宋体"/>
          <w:spacing w:val="-1"/>
          <w:sz w:val="24"/>
          <w:szCs w:val="24"/>
        </w:rPr>
        <w:t>断裂；或者断于热影响区，呈</w:t>
      </w:r>
      <w:r>
        <w:rPr>
          <w:rFonts w:ascii="宋体" w:hAnsi="宋体" w:eastAsia="宋体" w:cs="宋体"/>
          <w:sz w:val="24"/>
          <w:szCs w:val="24"/>
        </w:rPr>
        <w:t xml:space="preserve"> 延性断裂，其抗拉强度却小于钢筋母材抗拉强度标准值</w:t>
      </w:r>
      <w:r>
        <w:rPr>
          <w:rFonts w:ascii="宋体" w:hAnsi="宋体" w:eastAsia="宋体" w:cs="宋体"/>
          <w:spacing w:val="-1"/>
          <w:sz w:val="24"/>
          <w:szCs w:val="24"/>
        </w:rPr>
        <w:t>。以上两种情况均属异常现</w:t>
      </w:r>
    </w:p>
    <w:p w14:paraId="6D9C4CDA">
      <w:pPr>
        <w:spacing w:before="156" w:line="219" w:lineRule="auto"/>
        <w:ind w:left="13"/>
        <w:rPr>
          <w:rFonts w:ascii="宋体" w:hAnsi="宋体" w:eastAsia="宋体" w:cs="宋体"/>
          <w:sz w:val="24"/>
          <w:szCs w:val="24"/>
        </w:rPr>
      </w:pPr>
      <w:r>
        <w:rPr>
          <w:rFonts w:ascii="宋体" w:hAnsi="宋体" w:eastAsia="宋体" w:cs="宋体"/>
          <w:spacing w:val="-3"/>
          <w:sz w:val="24"/>
          <w:szCs w:val="24"/>
        </w:rPr>
        <w:t>象，应视该项试验无效，并检查钢筋的材质性能。</w:t>
      </w:r>
    </w:p>
    <w:p w14:paraId="0E0DA9FC">
      <w:pPr>
        <w:spacing w:before="202" w:line="226" w:lineRule="auto"/>
        <w:ind w:left="14"/>
        <w:outlineLvl w:val="1"/>
        <w:rPr>
          <w:rFonts w:ascii="宋体" w:hAnsi="宋体" w:eastAsia="宋体" w:cs="宋体"/>
          <w:sz w:val="27"/>
          <w:szCs w:val="27"/>
        </w:rPr>
      </w:pPr>
      <w:bookmarkStart w:id="35" w:name="bookmark83"/>
      <w:bookmarkEnd w:id="35"/>
      <w:r>
        <w:rPr>
          <w:rFonts w:ascii="Times New Roman" w:hAnsi="Times New Roman" w:eastAsia="Times New Roman" w:cs="Times New Roman"/>
          <w:b/>
          <w:bCs/>
          <w:spacing w:val="7"/>
          <w:sz w:val="27"/>
          <w:szCs w:val="27"/>
        </w:rPr>
        <w:t>19.</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7"/>
          <w:sz w:val="27"/>
          <w:szCs w:val="27"/>
        </w:rPr>
        <w:t xml:space="preserve">52-2006  </w:t>
      </w:r>
      <w:r>
        <w:rPr>
          <w:rFonts w:ascii="宋体" w:hAnsi="宋体" w:eastAsia="宋体" w:cs="宋体"/>
          <w:b/>
          <w:bCs/>
          <w:spacing w:val="7"/>
          <w:sz w:val="27"/>
          <w:szCs w:val="27"/>
        </w:rPr>
        <w:t>普通混凝土用砂、石质量</w:t>
      </w:r>
      <w:r>
        <w:rPr>
          <w:rFonts w:ascii="宋体" w:hAnsi="宋体" w:eastAsia="宋体" w:cs="宋体"/>
          <w:b/>
          <w:bCs/>
          <w:spacing w:val="6"/>
          <w:sz w:val="27"/>
          <w:szCs w:val="27"/>
        </w:rPr>
        <w:t>及检验方法标准【强条已废】</w:t>
      </w:r>
    </w:p>
    <w:p w14:paraId="0093AA1D">
      <w:pPr>
        <w:spacing w:before="286"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GB55008-2021 </w:t>
      </w:r>
      <w:r>
        <w:rPr>
          <w:rFonts w:ascii="宋体" w:hAnsi="宋体" w:eastAsia="宋体" w:cs="宋体"/>
          <w:b/>
          <w:bCs/>
          <w:color w:val="0563C1"/>
          <w:spacing w:val="-2"/>
          <w:sz w:val="24"/>
          <w:szCs w:val="24"/>
          <w:u w:val="single" w:color="auto"/>
        </w:rPr>
        <w:t>混凝土结构通用规范</w:t>
      </w:r>
      <w:r>
        <w:rPr>
          <w:rFonts w:ascii="宋体" w:hAnsi="宋体" w:eastAsia="宋体" w:cs="宋体"/>
          <w:b/>
          <w:bCs/>
          <w:color w:val="EE0000"/>
          <w:spacing w:val="-2"/>
          <w:sz w:val="24"/>
          <w:szCs w:val="24"/>
        </w:rPr>
        <w:t>》替代</w:t>
      </w:r>
    </w:p>
    <w:p w14:paraId="52353609">
      <w:pPr>
        <w:spacing w:before="153" w:line="220" w:lineRule="auto"/>
        <w:ind w:left="24"/>
        <w:rPr>
          <w:rFonts w:ascii="宋体" w:hAnsi="宋体" w:eastAsia="宋体" w:cs="宋体"/>
          <w:sz w:val="24"/>
          <w:szCs w:val="24"/>
        </w:rPr>
      </w:pPr>
      <w:r>
        <w:rPr>
          <w:rFonts w:ascii="Times New Roman" w:hAnsi="Times New Roman" w:eastAsia="Times New Roman" w:cs="Times New Roman"/>
          <w:strike/>
          <w:spacing w:val="-1"/>
          <w:sz w:val="24"/>
          <w:szCs w:val="24"/>
        </w:rPr>
        <w:t xml:space="preserve">1.0.3    </w:t>
      </w:r>
      <w:r>
        <w:rPr>
          <w:rFonts w:ascii="宋体" w:hAnsi="宋体" w:eastAsia="宋体" w:cs="宋体"/>
          <w:strike/>
          <w:spacing w:val="-1"/>
          <w:sz w:val="24"/>
          <w:szCs w:val="24"/>
        </w:rPr>
        <w:t>对于长期处于潮湿环境的重要混凝土结构所用的砂、石，应进行碱活性检验。</w:t>
      </w:r>
    </w:p>
    <w:p w14:paraId="6BEE7C44">
      <w:pPr>
        <w:spacing w:before="155"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3.1.10    </w:t>
      </w:r>
      <w:r>
        <w:rPr>
          <w:rFonts w:ascii="宋体" w:hAnsi="宋体" w:eastAsia="宋体" w:cs="宋体"/>
          <w:strike/>
          <w:spacing w:val="-1"/>
          <w:sz w:val="24"/>
          <w:szCs w:val="24"/>
        </w:rPr>
        <w:t>砂中氯离子含量应符合下列规定：</w:t>
      </w:r>
    </w:p>
    <w:p w14:paraId="01C483C4">
      <w:pPr>
        <w:spacing w:line="220" w:lineRule="auto"/>
        <w:rPr>
          <w:rFonts w:ascii="宋体" w:hAnsi="宋体" w:eastAsia="宋体" w:cs="宋体"/>
          <w:sz w:val="24"/>
          <w:szCs w:val="24"/>
        </w:rPr>
        <w:sectPr>
          <w:footerReference r:id="rId31" w:type="default"/>
          <w:pgSz w:w="11907" w:h="16839"/>
          <w:pgMar w:top="400" w:right="1429" w:bottom="743" w:left="1421" w:header="0" w:footer="582" w:gutter="0"/>
          <w:cols w:space="720" w:num="1"/>
        </w:sectPr>
      </w:pPr>
    </w:p>
    <w:p w14:paraId="3F1D8F05">
      <w:pPr>
        <w:pStyle w:val="2"/>
        <w:spacing w:line="303" w:lineRule="auto"/>
      </w:pPr>
    </w:p>
    <w:p w14:paraId="6B3D506D">
      <w:pPr>
        <w:pStyle w:val="2"/>
        <w:spacing w:line="303" w:lineRule="auto"/>
      </w:pPr>
    </w:p>
    <w:p w14:paraId="1917F0BF">
      <w:pPr>
        <w:pStyle w:val="2"/>
        <w:spacing w:line="303" w:lineRule="auto"/>
      </w:pPr>
    </w:p>
    <w:p w14:paraId="0D01C9D7">
      <w:pPr>
        <w:spacing w:before="78" w:line="280" w:lineRule="auto"/>
        <w:ind w:left="5" w:right="470" w:firstLine="49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对于钢筋混凝土用砂，其氯离子含量不得大于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06</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（以干砂的质量百分率</w:t>
      </w:r>
      <w:r>
        <w:rPr>
          <w:rFonts w:ascii="宋体" w:hAnsi="宋体" w:eastAsia="宋体" w:cs="宋体"/>
          <w:sz w:val="24"/>
          <w:szCs w:val="24"/>
        </w:rPr>
        <w:t xml:space="preserve"> </w:t>
      </w:r>
      <w:r>
        <w:rPr>
          <w:rFonts w:ascii="宋体" w:hAnsi="宋体" w:eastAsia="宋体" w:cs="宋体"/>
          <w:strike/>
          <w:spacing w:val="-4"/>
          <w:sz w:val="24"/>
          <w:szCs w:val="24"/>
        </w:rPr>
        <w:t>计</w:t>
      </w:r>
      <w:r>
        <w:rPr>
          <w:rFonts w:ascii="宋体" w:hAnsi="宋体" w:eastAsia="宋体" w:cs="宋体"/>
          <w:strike/>
          <w:spacing w:val="-2"/>
          <w:sz w:val="24"/>
          <w:szCs w:val="24"/>
        </w:rPr>
        <w:t>）；</w:t>
      </w:r>
    </w:p>
    <w:p w14:paraId="796D0461">
      <w:pPr>
        <w:spacing w:before="151" w:line="280" w:lineRule="auto"/>
        <w:ind w:left="5" w:right="230" w:firstLine="475"/>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对于预应力混凝土用砂，其氯离子含量不得大于</w:t>
      </w:r>
      <w:r>
        <w:rPr>
          <w:rFonts w:ascii="宋体" w:hAnsi="宋体" w:eastAsia="宋体" w:cs="宋体"/>
          <w:strike/>
          <w:spacing w:val="-38"/>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02%</w:t>
      </w:r>
      <w:r>
        <w:rPr>
          <w:rFonts w:ascii="宋体" w:hAnsi="宋体" w:eastAsia="宋体" w:cs="宋体"/>
          <w:strike/>
          <w:spacing w:val="-1"/>
          <w:sz w:val="24"/>
          <w:szCs w:val="24"/>
        </w:rPr>
        <w:t>（以干砂的质量百分率</w:t>
      </w:r>
      <w:r>
        <w:rPr>
          <w:rFonts w:ascii="宋体" w:hAnsi="宋体" w:eastAsia="宋体" w:cs="宋体"/>
          <w:sz w:val="24"/>
          <w:szCs w:val="24"/>
        </w:rPr>
        <w:t xml:space="preserve"> </w:t>
      </w:r>
      <w:r>
        <w:rPr>
          <w:rFonts w:ascii="宋体" w:hAnsi="宋体" w:eastAsia="宋体" w:cs="宋体"/>
          <w:strike/>
          <w:spacing w:val="-3"/>
          <w:sz w:val="24"/>
          <w:szCs w:val="24"/>
        </w:rPr>
        <w:t>计）。</w:t>
      </w:r>
    </w:p>
    <w:p w14:paraId="06E2B9C6">
      <w:pPr>
        <w:spacing w:before="199" w:line="226" w:lineRule="auto"/>
        <w:ind w:left="2"/>
        <w:outlineLvl w:val="1"/>
        <w:rPr>
          <w:rFonts w:ascii="宋体" w:hAnsi="宋体" w:eastAsia="宋体" w:cs="宋体"/>
          <w:sz w:val="27"/>
          <w:szCs w:val="27"/>
        </w:rPr>
      </w:pPr>
      <w:bookmarkStart w:id="36" w:name="bookmark84"/>
      <w:bookmarkEnd w:id="36"/>
      <w:r>
        <w:rPr>
          <w:rFonts w:ascii="Times New Roman" w:hAnsi="Times New Roman" w:eastAsia="Times New Roman" w:cs="Times New Roman"/>
          <w:b/>
          <w:bCs/>
          <w:spacing w:val="6"/>
          <w:sz w:val="27"/>
          <w:szCs w:val="27"/>
        </w:rPr>
        <w:t>20.</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55-2011  </w:t>
      </w:r>
      <w:r>
        <w:rPr>
          <w:rFonts w:ascii="宋体" w:hAnsi="宋体" w:eastAsia="宋体" w:cs="宋体"/>
          <w:b/>
          <w:bCs/>
          <w:spacing w:val="6"/>
          <w:sz w:val="27"/>
          <w:szCs w:val="27"/>
        </w:rPr>
        <w:t>普通混凝土配合比设计规程【强条已废】</w:t>
      </w:r>
    </w:p>
    <w:p w14:paraId="35426046">
      <w:pPr>
        <w:spacing w:before="285"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GB55008-2021 </w:t>
      </w:r>
      <w:r>
        <w:rPr>
          <w:rFonts w:ascii="宋体" w:hAnsi="宋体" w:eastAsia="宋体" w:cs="宋体"/>
          <w:b/>
          <w:bCs/>
          <w:color w:val="0563C1"/>
          <w:spacing w:val="-2"/>
          <w:sz w:val="24"/>
          <w:szCs w:val="24"/>
          <w:u w:val="single" w:color="auto"/>
        </w:rPr>
        <w:t>混凝土结构通用规范</w:t>
      </w:r>
      <w:r>
        <w:rPr>
          <w:rFonts w:ascii="宋体" w:hAnsi="宋体" w:eastAsia="宋体" w:cs="宋体"/>
          <w:b/>
          <w:bCs/>
          <w:color w:val="EE0000"/>
          <w:spacing w:val="-2"/>
          <w:sz w:val="24"/>
          <w:szCs w:val="24"/>
        </w:rPr>
        <w:t>》替代</w:t>
      </w:r>
    </w:p>
    <w:p w14:paraId="1A9AD7FF">
      <w:pPr>
        <w:spacing w:before="154" w:line="220"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6.2.5    </w:t>
      </w:r>
      <w:r>
        <w:rPr>
          <w:rFonts w:ascii="宋体" w:hAnsi="宋体" w:eastAsia="宋体" w:cs="宋体"/>
          <w:strike/>
          <w:sz w:val="24"/>
          <w:szCs w:val="24"/>
        </w:rPr>
        <w:t>对耐久性有设计要求的混凝土应进</w:t>
      </w:r>
      <w:r>
        <w:rPr>
          <w:rFonts w:ascii="宋体" w:hAnsi="宋体" w:eastAsia="宋体" w:cs="宋体"/>
          <w:strike/>
          <w:spacing w:val="-1"/>
          <w:sz w:val="24"/>
          <w:szCs w:val="24"/>
        </w:rPr>
        <w:t>行相关耐久性试验验证。</w:t>
      </w:r>
    </w:p>
    <w:p w14:paraId="2F6B750B">
      <w:pPr>
        <w:spacing w:before="201" w:line="226" w:lineRule="auto"/>
        <w:ind w:left="2"/>
        <w:outlineLvl w:val="1"/>
        <w:rPr>
          <w:rFonts w:ascii="宋体" w:hAnsi="宋体" w:eastAsia="宋体" w:cs="宋体"/>
          <w:sz w:val="27"/>
          <w:szCs w:val="27"/>
        </w:rPr>
      </w:pPr>
      <w:bookmarkStart w:id="37" w:name="bookmark85"/>
      <w:bookmarkEnd w:id="37"/>
      <w:r>
        <w:rPr>
          <w:rFonts w:ascii="Times New Roman" w:hAnsi="Times New Roman" w:eastAsia="Times New Roman" w:cs="Times New Roman"/>
          <w:b/>
          <w:bCs/>
          <w:spacing w:val="6"/>
          <w:sz w:val="27"/>
          <w:szCs w:val="27"/>
        </w:rPr>
        <w:t>21.</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63-2006  </w:t>
      </w:r>
      <w:r>
        <w:rPr>
          <w:rFonts w:ascii="宋体" w:hAnsi="宋体" w:eastAsia="宋体" w:cs="宋体"/>
          <w:b/>
          <w:bCs/>
          <w:spacing w:val="6"/>
          <w:sz w:val="27"/>
          <w:szCs w:val="27"/>
        </w:rPr>
        <w:t>混凝土用水标准【强条已废】</w:t>
      </w:r>
    </w:p>
    <w:p w14:paraId="06B50A61">
      <w:pPr>
        <w:spacing w:before="286"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EE0000"/>
          <w:spacing w:val="-2"/>
          <w:sz w:val="24"/>
          <w:szCs w:val="24"/>
          <w:u w:val="single" w:color="auto"/>
        </w:rPr>
        <w:t xml:space="preserve">GB55008-2021 </w:t>
      </w:r>
      <w:r>
        <w:rPr>
          <w:rFonts w:ascii="宋体" w:hAnsi="宋体" w:eastAsia="宋体" w:cs="宋体"/>
          <w:b/>
          <w:bCs/>
          <w:color w:val="EE0000"/>
          <w:spacing w:val="-2"/>
          <w:sz w:val="24"/>
          <w:szCs w:val="24"/>
          <w:u w:val="single" w:color="auto"/>
        </w:rPr>
        <w:t>混凝土结构通用规范</w:t>
      </w:r>
      <w:r>
        <w:rPr>
          <w:rFonts w:ascii="宋体" w:hAnsi="宋体" w:eastAsia="宋体" w:cs="宋体"/>
          <w:b/>
          <w:bCs/>
          <w:color w:val="EE0000"/>
          <w:spacing w:val="-2"/>
          <w:sz w:val="24"/>
          <w:szCs w:val="24"/>
        </w:rPr>
        <w:t>》替代</w:t>
      </w:r>
    </w:p>
    <w:p w14:paraId="1CBFC23B">
      <w:pPr>
        <w:spacing w:before="154"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3.1.7    </w:t>
      </w:r>
      <w:r>
        <w:rPr>
          <w:rFonts w:ascii="宋体" w:hAnsi="宋体" w:eastAsia="宋体" w:cs="宋体"/>
          <w:spacing w:val="-1"/>
          <w:sz w:val="24"/>
          <w:szCs w:val="24"/>
        </w:rPr>
        <w:t>未经处理的海水严禁用于钢筋</w:t>
      </w:r>
      <w:r>
        <w:rPr>
          <w:rFonts w:ascii="宋体" w:hAnsi="宋体" w:eastAsia="宋体" w:cs="宋体"/>
          <w:spacing w:val="-2"/>
          <w:sz w:val="24"/>
          <w:szCs w:val="24"/>
        </w:rPr>
        <w:t>混凝土和预应力混凝土。</w:t>
      </w:r>
    </w:p>
    <w:p w14:paraId="62F20CBA">
      <w:pPr>
        <w:spacing w:before="202" w:line="226" w:lineRule="auto"/>
        <w:ind w:left="2"/>
        <w:outlineLvl w:val="1"/>
        <w:rPr>
          <w:rFonts w:ascii="宋体" w:hAnsi="宋体" w:eastAsia="宋体" w:cs="宋体"/>
          <w:sz w:val="27"/>
          <w:szCs w:val="27"/>
        </w:rPr>
      </w:pPr>
      <w:bookmarkStart w:id="38" w:name="bookmark86"/>
      <w:bookmarkEnd w:id="38"/>
      <w:r>
        <w:rPr>
          <w:rFonts w:ascii="Times New Roman" w:hAnsi="Times New Roman" w:eastAsia="Times New Roman" w:cs="Times New Roman"/>
          <w:b/>
          <w:bCs/>
          <w:spacing w:val="6"/>
          <w:sz w:val="27"/>
          <w:szCs w:val="27"/>
        </w:rPr>
        <w:t>22.</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81-2002  </w:t>
      </w:r>
      <w:r>
        <w:rPr>
          <w:rFonts w:ascii="宋体" w:hAnsi="宋体" w:eastAsia="宋体" w:cs="宋体"/>
          <w:b/>
          <w:bCs/>
          <w:spacing w:val="6"/>
          <w:sz w:val="27"/>
          <w:szCs w:val="27"/>
        </w:rPr>
        <w:t>建筑钢结构焊接技术规程</w:t>
      </w:r>
    </w:p>
    <w:p w14:paraId="689F2FAC">
      <w:pPr>
        <w:spacing w:before="284" w:line="339" w:lineRule="auto"/>
        <w:ind w:left="5"/>
        <w:rPr>
          <w:rFonts w:ascii="宋体" w:hAnsi="宋体" w:eastAsia="宋体" w:cs="宋体"/>
          <w:sz w:val="24"/>
          <w:szCs w:val="24"/>
        </w:rPr>
      </w:pPr>
      <w:r>
        <w:rPr>
          <w:rFonts w:ascii="Times New Roman" w:hAnsi="Times New Roman" w:eastAsia="Times New Roman" w:cs="Times New Roman"/>
          <w:sz w:val="24"/>
          <w:szCs w:val="24"/>
        </w:rPr>
        <w:t xml:space="preserve">3.01    </w:t>
      </w:r>
      <w:r>
        <w:rPr>
          <w:rFonts w:ascii="宋体" w:hAnsi="宋体" w:eastAsia="宋体" w:cs="宋体"/>
          <w:sz w:val="24"/>
          <w:szCs w:val="24"/>
        </w:rPr>
        <w:t>建筑钢结构用钢材及焊接填充材料的选用应符合设计图</w:t>
      </w:r>
      <w:r>
        <w:rPr>
          <w:rFonts w:ascii="宋体" w:hAnsi="宋体" w:eastAsia="宋体" w:cs="宋体"/>
          <w:spacing w:val="-1"/>
          <w:sz w:val="24"/>
          <w:szCs w:val="24"/>
        </w:rPr>
        <w:t>的要求，并应具有钢厂和</w:t>
      </w:r>
      <w:r>
        <w:rPr>
          <w:rFonts w:ascii="宋体" w:hAnsi="宋体" w:eastAsia="宋体" w:cs="宋体"/>
          <w:sz w:val="24"/>
          <w:szCs w:val="24"/>
        </w:rPr>
        <w:t xml:space="preserve"> 焊接材料厂出具的质量证明书或检验报告；其化学成分、</w:t>
      </w:r>
      <w:r>
        <w:rPr>
          <w:rFonts w:ascii="宋体" w:hAnsi="宋体" w:eastAsia="宋体" w:cs="宋体"/>
          <w:spacing w:val="-1"/>
          <w:sz w:val="24"/>
          <w:szCs w:val="24"/>
        </w:rPr>
        <w:t>力学性能和其他质量要求必</w:t>
      </w:r>
      <w:r>
        <w:rPr>
          <w:rFonts w:ascii="宋体" w:hAnsi="宋体" w:eastAsia="宋体" w:cs="宋体"/>
          <w:sz w:val="24"/>
          <w:szCs w:val="24"/>
        </w:rPr>
        <w:t xml:space="preserve">  须符合国家现行标准规定。当采用其它钢材和焊接材料替</w:t>
      </w:r>
      <w:r>
        <w:rPr>
          <w:rFonts w:ascii="宋体" w:hAnsi="宋体" w:eastAsia="宋体" w:cs="宋体"/>
          <w:spacing w:val="-1"/>
          <w:sz w:val="24"/>
          <w:szCs w:val="24"/>
        </w:rPr>
        <w:t>代设计选用的材料时，必须</w:t>
      </w:r>
      <w:r>
        <w:rPr>
          <w:rFonts w:ascii="宋体" w:hAnsi="宋体" w:eastAsia="宋体" w:cs="宋体"/>
          <w:sz w:val="24"/>
          <w:szCs w:val="24"/>
        </w:rPr>
        <w:t xml:space="preserve">  </w:t>
      </w:r>
      <w:r>
        <w:rPr>
          <w:rFonts w:ascii="宋体" w:hAnsi="宋体" w:eastAsia="宋体" w:cs="宋体"/>
          <w:spacing w:val="-5"/>
          <w:sz w:val="24"/>
          <w:szCs w:val="24"/>
        </w:rPr>
        <w:t>经原设计单位同意。</w:t>
      </w:r>
    </w:p>
    <w:p w14:paraId="1539A775">
      <w:pPr>
        <w:spacing w:before="1" w:line="218"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4.4.2    </w:t>
      </w:r>
      <w:r>
        <w:rPr>
          <w:rFonts w:ascii="宋体" w:hAnsi="宋体" w:eastAsia="宋体" w:cs="宋体"/>
          <w:spacing w:val="-2"/>
          <w:sz w:val="24"/>
          <w:szCs w:val="24"/>
        </w:rPr>
        <w:t>严禁在调质钢上采用塞焊和槽焊焊缝。</w:t>
      </w:r>
    </w:p>
    <w:p w14:paraId="73530E44">
      <w:pPr>
        <w:spacing w:before="153" w:line="280" w:lineRule="auto"/>
        <w:ind w:left="10" w:right="180" w:hanging="3"/>
        <w:rPr>
          <w:rFonts w:ascii="宋体" w:hAnsi="宋体" w:eastAsia="宋体" w:cs="宋体"/>
          <w:sz w:val="24"/>
          <w:szCs w:val="24"/>
        </w:rPr>
      </w:pPr>
      <w:r>
        <w:rPr>
          <w:rFonts w:ascii="Times New Roman" w:hAnsi="Times New Roman" w:eastAsia="Times New Roman" w:cs="Times New Roman"/>
          <w:sz w:val="24"/>
          <w:szCs w:val="24"/>
        </w:rPr>
        <w:t xml:space="preserve">5.1.1    </w:t>
      </w:r>
      <w:r>
        <w:rPr>
          <w:rFonts w:ascii="宋体" w:hAnsi="宋体" w:eastAsia="宋体" w:cs="宋体"/>
          <w:sz w:val="24"/>
          <w:szCs w:val="24"/>
        </w:rPr>
        <w:t>凡符合以下情况之一者，应在钢结构构件制作及</w:t>
      </w:r>
      <w:r>
        <w:rPr>
          <w:rFonts w:ascii="宋体" w:hAnsi="宋体" w:eastAsia="宋体" w:cs="宋体"/>
          <w:spacing w:val="-1"/>
          <w:sz w:val="24"/>
          <w:szCs w:val="24"/>
        </w:rPr>
        <w:t>安装施工之前进行焊接工艺评</w:t>
      </w:r>
      <w:r>
        <w:rPr>
          <w:rFonts w:ascii="宋体" w:hAnsi="宋体" w:eastAsia="宋体" w:cs="宋体"/>
          <w:sz w:val="24"/>
          <w:szCs w:val="24"/>
        </w:rPr>
        <w:t xml:space="preserve"> </w:t>
      </w:r>
      <w:r>
        <w:rPr>
          <w:rFonts w:ascii="宋体" w:hAnsi="宋体" w:eastAsia="宋体" w:cs="宋体"/>
          <w:spacing w:val="-18"/>
          <w:sz w:val="24"/>
          <w:szCs w:val="24"/>
        </w:rPr>
        <w:t>定：</w:t>
      </w:r>
    </w:p>
    <w:p w14:paraId="57672E85">
      <w:pPr>
        <w:spacing w:before="155" w:line="278" w:lineRule="auto"/>
        <w:ind w:left="8" w:right="180" w:firstLine="495"/>
        <w:rPr>
          <w:rFonts w:ascii="宋体" w:hAnsi="宋体" w:eastAsia="宋体" w:cs="宋体"/>
          <w:sz w:val="24"/>
          <w:szCs w:val="24"/>
        </w:rPr>
      </w:pPr>
      <w:r>
        <w:rPr>
          <w:rFonts w:ascii="Times New Roman" w:hAnsi="Times New Roman" w:eastAsia="Times New Roman" w:cs="Times New Roman"/>
          <w:spacing w:val="-2"/>
          <w:sz w:val="24"/>
          <w:szCs w:val="24"/>
        </w:rPr>
        <w:t>1</w:t>
      </w:r>
      <w:r>
        <w:rPr>
          <w:rFonts w:ascii="Times New Roman" w:hAnsi="Times New Roman" w:eastAsia="Times New Roman" w:cs="Times New Roman"/>
          <w:spacing w:val="20"/>
          <w:sz w:val="24"/>
          <w:szCs w:val="24"/>
        </w:rPr>
        <w:t xml:space="preserve">  </w:t>
      </w:r>
      <w:r>
        <w:rPr>
          <w:rFonts w:ascii="宋体" w:hAnsi="宋体" w:eastAsia="宋体" w:cs="宋体"/>
          <w:spacing w:val="-2"/>
          <w:sz w:val="24"/>
          <w:szCs w:val="24"/>
        </w:rPr>
        <w:t>国内首次应用于钢结构工程的钢材（包括钢材牌号与标准相符但微合金强化元</w:t>
      </w:r>
      <w:r>
        <w:rPr>
          <w:rFonts w:ascii="宋体" w:hAnsi="宋体" w:eastAsia="宋体" w:cs="宋体"/>
          <w:sz w:val="24"/>
          <w:szCs w:val="24"/>
        </w:rPr>
        <w:t xml:space="preserve"> </w:t>
      </w:r>
      <w:r>
        <w:rPr>
          <w:rFonts w:ascii="宋体" w:hAnsi="宋体" w:eastAsia="宋体" w:cs="宋体"/>
          <w:spacing w:val="-3"/>
          <w:sz w:val="24"/>
          <w:szCs w:val="24"/>
        </w:rPr>
        <w:t>素的类别不同和供货状态不同，或国外钢号国内生产</w:t>
      </w:r>
      <w:r>
        <w:rPr>
          <w:rFonts w:ascii="宋体" w:hAnsi="宋体" w:eastAsia="宋体" w:cs="宋体"/>
          <w:spacing w:val="1"/>
          <w:sz w:val="24"/>
          <w:szCs w:val="24"/>
        </w:rPr>
        <w:t>）；</w:t>
      </w:r>
    </w:p>
    <w:p w14:paraId="62BC7ED9">
      <w:pPr>
        <w:spacing w:before="156" w:line="219" w:lineRule="auto"/>
        <w:ind w:left="481"/>
        <w:rPr>
          <w:rFonts w:ascii="宋体" w:hAnsi="宋体" w:eastAsia="宋体" w:cs="宋体"/>
          <w:sz w:val="24"/>
          <w:szCs w:val="24"/>
        </w:rPr>
      </w:pPr>
      <w:r>
        <w:rPr>
          <w:rFonts w:ascii="Times New Roman" w:hAnsi="Times New Roman" w:eastAsia="Times New Roman" w:cs="Times New Roman"/>
          <w:spacing w:val="-5"/>
          <w:sz w:val="24"/>
          <w:szCs w:val="24"/>
        </w:rPr>
        <w:t>2</w:t>
      </w:r>
      <w:r>
        <w:rPr>
          <w:rFonts w:ascii="Times New Roman" w:hAnsi="Times New Roman" w:eastAsia="Times New Roman" w:cs="Times New Roman"/>
          <w:spacing w:val="18"/>
          <w:w w:val="101"/>
          <w:sz w:val="24"/>
          <w:szCs w:val="24"/>
        </w:rPr>
        <w:t xml:space="preserve">  </w:t>
      </w:r>
      <w:r>
        <w:rPr>
          <w:rFonts w:ascii="宋体" w:hAnsi="宋体" w:eastAsia="宋体" w:cs="宋体"/>
          <w:spacing w:val="-5"/>
          <w:sz w:val="24"/>
          <w:szCs w:val="24"/>
        </w:rPr>
        <w:t>国内首次应用于钢结构工程的焊接材料；</w:t>
      </w:r>
    </w:p>
    <w:p w14:paraId="4DBC3720">
      <w:pPr>
        <w:spacing w:before="158" w:line="298" w:lineRule="auto"/>
        <w:ind w:left="4" w:right="180" w:firstLine="481"/>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设计规定的钢材类别、焊接材料、焊接方法、接头形</w:t>
      </w:r>
      <w:r>
        <w:rPr>
          <w:rFonts w:ascii="宋体" w:hAnsi="宋体" w:eastAsia="宋体" w:cs="宋体"/>
          <w:spacing w:val="-1"/>
          <w:sz w:val="24"/>
          <w:szCs w:val="24"/>
        </w:rPr>
        <w:t>式、焊接位置、焊后热处</w:t>
      </w:r>
      <w:r>
        <w:rPr>
          <w:rFonts w:ascii="宋体" w:hAnsi="宋体" w:eastAsia="宋体" w:cs="宋体"/>
          <w:sz w:val="24"/>
          <w:szCs w:val="24"/>
        </w:rPr>
        <w:t xml:space="preserve"> 理制度以及施工单位所采用的焊接工艺参数、预热后热措施等</w:t>
      </w:r>
      <w:r>
        <w:rPr>
          <w:rFonts w:ascii="宋体" w:hAnsi="宋体" w:eastAsia="宋体" w:cs="宋体"/>
          <w:spacing w:val="-1"/>
          <w:sz w:val="24"/>
          <w:szCs w:val="24"/>
        </w:rPr>
        <w:t>各种参数的组合条件为</w:t>
      </w:r>
      <w:r>
        <w:rPr>
          <w:rFonts w:ascii="宋体" w:hAnsi="宋体" w:eastAsia="宋体" w:cs="宋体"/>
          <w:sz w:val="24"/>
          <w:szCs w:val="24"/>
        </w:rPr>
        <w:t xml:space="preserve"> </w:t>
      </w:r>
      <w:r>
        <w:rPr>
          <w:rFonts w:ascii="宋体" w:hAnsi="宋体" w:eastAsia="宋体" w:cs="宋体"/>
          <w:spacing w:val="-5"/>
          <w:sz w:val="24"/>
          <w:szCs w:val="24"/>
        </w:rPr>
        <w:t>施工企业首次采用。</w:t>
      </w:r>
    </w:p>
    <w:p w14:paraId="52C5A6D6">
      <w:pPr>
        <w:spacing w:before="156" w:line="339" w:lineRule="auto"/>
        <w:ind w:left="4" w:right="39"/>
        <w:rPr>
          <w:rFonts w:ascii="宋体" w:hAnsi="宋体" w:eastAsia="宋体" w:cs="宋体"/>
          <w:sz w:val="24"/>
          <w:szCs w:val="24"/>
        </w:rPr>
      </w:pPr>
      <w:r>
        <w:rPr>
          <w:rFonts w:ascii="Times New Roman" w:hAnsi="Times New Roman" w:eastAsia="Times New Roman" w:cs="Times New Roman"/>
          <w:sz w:val="24"/>
          <w:szCs w:val="24"/>
        </w:rPr>
        <w:t xml:space="preserve">7.1.5    </w:t>
      </w:r>
      <w:r>
        <w:rPr>
          <w:rFonts w:ascii="宋体" w:hAnsi="宋体" w:eastAsia="宋体" w:cs="宋体"/>
          <w:sz w:val="24"/>
          <w:szCs w:val="24"/>
        </w:rPr>
        <w:t>抽样检查的焊缝数如不合格率小于</w:t>
      </w:r>
      <w:r>
        <w:rPr>
          <w:rFonts w:ascii="宋体" w:hAnsi="宋体" w:eastAsia="宋体" w:cs="宋体"/>
          <w:spacing w:val="-55"/>
          <w:sz w:val="24"/>
          <w:szCs w:val="24"/>
        </w:rPr>
        <w:t xml:space="preserve"> </w:t>
      </w:r>
      <w:r>
        <w:rPr>
          <w:rFonts w:ascii="Times New Roman" w:hAnsi="Times New Roman" w:eastAsia="Times New Roman" w:cs="Times New Roman"/>
          <w:sz w:val="24"/>
          <w:szCs w:val="24"/>
        </w:rPr>
        <w:t>2%</w:t>
      </w:r>
      <w:r>
        <w:rPr>
          <w:rFonts w:ascii="宋体" w:hAnsi="宋体" w:eastAsia="宋体" w:cs="宋体"/>
          <w:sz w:val="24"/>
          <w:szCs w:val="24"/>
        </w:rPr>
        <w:t>时，该</w:t>
      </w:r>
      <w:r>
        <w:rPr>
          <w:rFonts w:ascii="宋体" w:hAnsi="宋体" w:eastAsia="宋体" w:cs="宋体"/>
          <w:spacing w:val="-1"/>
          <w:sz w:val="24"/>
          <w:szCs w:val="24"/>
        </w:rPr>
        <w:t>批验收应定为合格；不合格率大于</w:t>
      </w:r>
      <w:r>
        <w:rPr>
          <w:rFonts w:ascii="宋体" w:hAnsi="宋体" w:eastAsia="宋体" w:cs="宋体"/>
          <w:sz w:val="24"/>
          <w:szCs w:val="24"/>
        </w:rPr>
        <w:t xml:space="preserve"> </w:t>
      </w:r>
      <w:r>
        <w:rPr>
          <w:rFonts w:ascii="Times New Roman" w:hAnsi="Times New Roman" w:eastAsia="Times New Roman" w:cs="Times New Roman"/>
          <w:sz w:val="24"/>
          <w:szCs w:val="24"/>
        </w:rPr>
        <w:t>5%</w:t>
      </w:r>
      <w:r>
        <w:rPr>
          <w:rFonts w:ascii="宋体" w:hAnsi="宋体" w:eastAsia="宋体" w:cs="宋体"/>
          <w:sz w:val="24"/>
          <w:szCs w:val="24"/>
        </w:rPr>
        <w:t>时，该批验收应定为不合格；不合格率为</w:t>
      </w:r>
      <w:r>
        <w:rPr>
          <w:rFonts w:ascii="宋体" w:hAnsi="宋体" w:eastAsia="宋体" w:cs="宋体"/>
          <w:spacing w:val="-55"/>
          <w:sz w:val="24"/>
          <w:szCs w:val="24"/>
        </w:rPr>
        <w:t xml:space="preserve"> </w:t>
      </w:r>
      <w:r>
        <w:rPr>
          <w:rFonts w:ascii="Times New Roman" w:hAnsi="Times New Roman" w:eastAsia="Times New Roman" w:cs="Times New Roman"/>
          <w:sz w:val="24"/>
          <w:szCs w:val="24"/>
        </w:rPr>
        <w:t>2%-5%</w:t>
      </w:r>
      <w:r>
        <w:rPr>
          <w:rFonts w:ascii="宋体" w:hAnsi="宋体" w:eastAsia="宋体" w:cs="宋体"/>
          <w:sz w:val="24"/>
          <w:szCs w:val="24"/>
        </w:rPr>
        <w:t>时</w:t>
      </w:r>
      <w:r>
        <w:rPr>
          <w:rFonts w:ascii="宋体" w:hAnsi="宋体" w:eastAsia="宋体" w:cs="宋体"/>
          <w:spacing w:val="-1"/>
          <w:sz w:val="24"/>
          <w:szCs w:val="24"/>
        </w:rPr>
        <w:t>，应加倍抽检，且必须在原不合</w:t>
      </w:r>
      <w:r>
        <w:rPr>
          <w:rFonts w:ascii="宋体" w:hAnsi="宋体" w:eastAsia="宋体" w:cs="宋体"/>
          <w:sz w:val="24"/>
          <w:szCs w:val="24"/>
        </w:rPr>
        <w:t xml:space="preserve"> 格部位两侧的焊缝延长线各增加一处，如在</w:t>
      </w:r>
      <w:r>
        <w:rPr>
          <w:rFonts w:ascii="宋体" w:hAnsi="宋体" w:eastAsia="宋体" w:cs="宋体"/>
          <w:spacing w:val="-1"/>
          <w:sz w:val="24"/>
          <w:szCs w:val="24"/>
        </w:rPr>
        <w:t>所有抽检焊缝中不合格率不大于</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w:t>
      </w:r>
      <w:r>
        <w:rPr>
          <w:rFonts w:ascii="宋体" w:hAnsi="宋体" w:eastAsia="宋体" w:cs="宋体"/>
          <w:spacing w:val="-1"/>
          <w:sz w:val="24"/>
          <w:szCs w:val="24"/>
        </w:rPr>
        <w:t>时，该</w:t>
      </w:r>
      <w:r>
        <w:rPr>
          <w:rFonts w:ascii="宋体" w:hAnsi="宋体" w:eastAsia="宋体" w:cs="宋体"/>
          <w:sz w:val="24"/>
          <w:szCs w:val="24"/>
        </w:rPr>
        <w:t xml:space="preserve"> 批验收应定为合格，大于</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3%</w:t>
      </w:r>
      <w:r>
        <w:rPr>
          <w:rFonts w:ascii="宋体" w:hAnsi="宋体" w:eastAsia="宋体" w:cs="宋体"/>
          <w:sz w:val="24"/>
          <w:szCs w:val="24"/>
        </w:rPr>
        <w:t>时，该批验收</w:t>
      </w:r>
      <w:r>
        <w:rPr>
          <w:rFonts w:ascii="宋体" w:hAnsi="宋体" w:eastAsia="宋体" w:cs="宋体"/>
          <w:spacing w:val="-1"/>
          <w:sz w:val="24"/>
          <w:szCs w:val="24"/>
        </w:rPr>
        <w:t>应定为不合格。当批量验收不合格时，应对</w:t>
      </w:r>
      <w:r>
        <w:rPr>
          <w:rFonts w:ascii="宋体" w:hAnsi="宋体" w:eastAsia="宋体" w:cs="宋体"/>
          <w:sz w:val="24"/>
          <w:szCs w:val="24"/>
        </w:rPr>
        <w:t xml:space="preserve"> 该批余下焊缝的全数进行检查。当检查出一处裂纹缺陷时，应</w:t>
      </w:r>
      <w:r>
        <w:rPr>
          <w:rFonts w:ascii="宋体" w:hAnsi="宋体" w:eastAsia="宋体" w:cs="宋体"/>
          <w:spacing w:val="-1"/>
          <w:sz w:val="24"/>
          <w:szCs w:val="24"/>
        </w:rPr>
        <w:t>加倍抽查，如在加倍抽</w:t>
      </w:r>
      <w:r>
        <w:rPr>
          <w:rFonts w:ascii="宋体" w:hAnsi="宋体" w:eastAsia="宋体" w:cs="宋体"/>
          <w:sz w:val="24"/>
          <w:szCs w:val="24"/>
        </w:rPr>
        <w:t xml:space="preserve">  检焊缝中未检查出其它裂纹缺陷时，该批验收应定为合格。当</w:t>
      </w:r>
      <w:r>
        <w:rPr>
          <w:rFonts w:ascii="宋体" w:hAnsi="宋体" w:eastAsia="宋体" w:cs="宋体"/>
          <w:spacing w:val="-1"/>
          <w:sz w:val="24"/>
          <w:szCs w:val="24"/>
        </w:rPr>
        <w:t>检查出多处裂纹缺陷或</w:t>
      </w:r>
      <w:r>
        <w:rPr>
          <w:rFonts w:ascii="宋体" w:hAnsi="宋体" w:eastAsia="宋体" w:cs="宋体"/>
          <w:sz w:val="24"/>
          <w:szCs w:val="24"/>
        </w:rPr>
        <w:t xml:space="preserve">  </w:t>
      </w:r>
      <w:r>
        <w:rPr>
          <w:rFonts w:ascii="宋体" w:hAnsi="宋体" w:eastAsia="宋体" w:cs="宋体"/>
          <w:spacing w:val="-2"/>
          <w:sz w:val="24"/>
          <w:szCs w:val="24"/>
        </w:rPr>
        <w:t>加倍抽查又发现裂纹缺陷时，应对该批余下焊缝的全数进行检查。</w:t>
      </w:r>
    </w:p>
    <w:p w14:paraId="4F13F33A">
      <w:pPr>
        <w:spacing w:line="339" w:lineRule="auto"/>
        <w:rPr>
          <w:rFonts w:ascii="宋体" w:hAnsi="宋体" w:eastAsia="宋体" w:cs="宋体"/>
          <w:sz w:val="24"/>
          <w:szCs w:val="24"/>
        </w:rPr>
        <w:sectPr>
          <w:footerReference r:id="rId32" w:type="default"/>
          <w:pgSz w:w="11907" w:h="16839"/>
          <w:pgMar w:top="400" w:right="1429" w:bottom="743" w:left="1421" w:header="0" w:footer="582" w:gutter="0"/>
          <w:cols w:space="720" w:num="1"/>
        </w:sectPr>
      </w:pPr>
    </w:p>
    <w:p w14:paraId="420B2C5B">
      <w:pPr>
        <w:pStyle w:val="2"/>
        <w:spacing w:line="303" w:lineRule="auto"/>
      </w:pPr>
    </w:p>
    <w:p w14:paraId="4501057D">
      <w:pPr>
        <w:pStyle w:val="2"/>
        <w:spacing w:line="303" w:lineRule="auto"/>
      </w:pPr>
    </w:p>
    <w:p w14:paraId="72E4FC3C">
      <w:pPr>
        <w:pStyle w:val="2"/>
        <w:spacing w:line="303" w:lineRule="auto"/>
      </w:pPr>
    </w:p>
    <w:p w14:paraId="5ED19617">
      <w:pPr>
        <w:spacing w:before="78" w:line="220" w:lineRule="auto"/>
        <w:ind w:left="8"/>
        <w:rPr>
          <w:rFonts w:ascii="宋体" w:hAnsi="宋体" w:eastAsia="宋体" w:cs="宋体"/>
          <w:sz w:val="24"/>
          <w:szCs w:val="24"/>
        </w:rPr>
      </w:pPr>
      <w:r>
        <w:rPr>
          <w:rFonts w:ascii="Times New Roman" w:hAnsi="Times New Roman" w:eastAsia="Times New Roman" w:cs="Times New Roman"/>
          <w:spacing w:val="-2"/>
          <w:sz w:val="24"/>
          <w:szCs w:val="24"/>
        </w:rPr>
        <w:t xml:space="preserve">7.33  </w:t>
      </w:r>
      <w:r>
        <w:rPr>
          <w:rFonts w:ascii="宋体" w:hAnsi="宋体" w:eastAsia="宋体" w:cs="宋体"/>
          <w:spacing w:val="-2"/>
          <w:sz w:val="24"/>
          <w:szCs w:val="24"/>
        </w:rPr>
        <w:t>设计要求全焊透的焊缝，其内部缺陷的检验应符合下列要求：</w:t>
      </w:r>
    </w:p>
    <w:p w14:paraId="1F422582">
      <w:pPr>
        <w:spacing w:before="154" w:line="279" w:lineRule="auto"/>
        <w:ind w:left="10" w:right="39" w:firstLine="497"/>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一级焊缝应进行</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100%</w:t>
      </w:r>
      <w:r>
        <w:rPr>
          <w:rFonts w:ascii="宋体" w:hAnsi="宋体" w:eastAsia="宋体" w:cs="宋体"/>
          <w:spacing w:val="-1"/>
          <w:sz w:val="24"/>
          <w:szCs w:val="24"/>
        </w:rPr>
        <w:t>的检验，其合格</w:t>
      </w:r>
      <w:r>
        <w:rPr>
          <w:rFonts w:ascii="宋体" w:hAnsi="宋体" w:eastAsia="宋体" w:cs="宋体"/>
          <w:spacing w:val="-2"/>
          <w:sz w:val="24"/>
          <w:szCs w:val="24"/>
        </w:rPr>
        <w:t>等级应为现行国家标准《钢焊缝手工超声</w:t>
      </w:r>
      <w:r>
        <w:rPr>
          <w:rFonts w:ascii="宋体" w:hAnsi="宋体" w:eastAsia="宋体" w:cs="宋体"/>
          <w:sz w:val="24"/>
          <w:szCs w:val="24"/>
        </w:rPr>
        <w:t xml:space="preserve"> </w:t>
      </w:r>
      <w:r>
        <w:rPr>
          <w:rFonts w:ascii="宋体" w:hAnsi="宋体" w:eastAsia="宋体" w:cs="宋体"/>
          <w:spacing w:val="-2"/>
          <w:sz w:val="24"/>
          <w:szCs w:val="24"/>
        </w:rPr>
        <w:t>波探伤方法及质量分级法》（</w:t>
      </w:r>
      <w:r>
        <w:rPr>
          <w:rFonts w:ascii="Times New Roman" w:hAnsi="Times New Roman" w:eastAsia="Times New Roman" w:cs="Times New Roman"/>
          <w:spacing w:val="-2"/>
          <w:sz w:val="24"/>
          <w:szCs w:val="24"/>
        </w:rPr>
        <w:t>GB11345</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B </w:t>
      </w:r>
      <w:r>
        <w:rPr>
          <w:rFonts w:ascii="宋体" w:hAnsi="宋体" w:eastAsia="宋体" w:cs="宋体"/>
          <w:spacing w:val="-2"/>
          <w:sz w:val="24"/>
          <w:szCs w:val="24"/>
        </w:rPr>
        <w:t>级检验的Ⅱ级及Ⅱ级以</w:t>
      </w:r>
      <w:r>
        <w:rPr>
          <w:rFonts w:ascii="宋体" w:hAnsi="宋体" w:eastAsia="宋体" w:cs="宋体"/>
          <w:spacing w:val="-3"/>
          <w:sz w:val="24"/>
          <w:szCs w:val="24"/>
        </w:rPr>
        <w:t>上；</w:t>
      </w:r>
    </w:p>
    <w:p w14:paraId="29064E86">
      <w:pPr>
        <w:spacing w:before="156" w:line="299" w:lineRule="auto"/>
        <w:ind w:left="10" w:right="170" w:firstLine="474"/>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二级焊缝应进行抽检，抽检比例应不小于</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20%</w:t>
      </w:r>
      <w:r>
        <w:rPr>
          <w:rFonts w:ascii="宋体" w:hAnsi="宋体" w:eastAsia="宋体" w:cs="宋体"/>
          <w:spacing w:val="-1"/>
          <w:sz w:val="24"/>
          <w:szCs w:val="24"/>
        </w:rPr>
        <w:t>，其合格等级应为现行国家标准</w:t>
      </w:r>
      <w:r>
        <w:rPr>
          <w:rFonts w:ascii="宋体" w:hAnsi="宋体" w:eastAsia="宋体" w:cs="宋体"/>
          <w:sz w:val="24"/>
          <w:szCs w:val="24"/>
        </w:rPr>
        <w:t xml:space="preserve"> 《钢焊缝手工超声波探伤方法及质量分级法</w:t>
      </w:r>
      <w:r>
        <w:rPr>
          <w:rFonts w:ascii="宋体" w:hAnsi="宋体" w:eastAsia="宋体" w:cs="宋体"/>
          <w:spacing w:val="-1"/>
          <w:sz w:val="24"/>
          <w:szCs w:val="24"/>
        </w:rPr>
        <w:t>》（</w:t>
      </w:r>
      <w:r>
        <w:rPr>
          <w:rFonts w:ascii="Times New Roman" w:hAnsi="Times New Roman" w:eastAsia="Times New Roman" w:cs="Times New Roman"/>
          <w:spacing w:val="-1"/>
          <w:sz w:val="24"/>
          <w:szCs w:val="24"/>
        </w:rPr>
        <w:t>GB11345</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B </w:t>
      </w:r>
      <w:r>
        <w:rPr>
          <w:rFonts w:ascii="宋体" w:hAnsi="宋体" w:eastAsia="宋体" w:cs="宋体"/>
          <w:spacing w:val="-1"/>
          <w:sz w:val="24"/>
          <w:szCs w:val="24"/>
        </w:rPr>
        <w:t>级检验的Ⅲ级及Ⅲ级以</w:t>
      </w:r>
      <w:r>
        <w:rPr>
          <w:rFonts w:ascii="宋体" w:hAnsi="宋体" w:eastAsia="宋体" w:cs="宋体"/>
          <w:sz w:val="24"/>
          <w:szCs w:val="24"/>
        </w:rPr>
        <w:t xml:space="preserve"> </w:t>
      </w:r>
      <w:r>
        <w:rPr>
          <w:rFonts w:ascii="宋体" w:hAnsi="宋体" w:eastAsia="宋体" w:cs="宋体"/>
          <w:spacing w:val="-17"/>
          <w:sz w:val="24"/>
          <w:szCs w:val="24"/>
        </w:rPr>
        <w:t>上；</w:t>
      </w:r>
    </w:p>
    <w:p w14:paraId="029580AE">
      <w:pPr>
        <w:spacing w:before="198" w:line="226" w:lineRule="auto"/>
        <w:ind w:left="6"/>
        <w:outlineLvl w:val="1"/>
        <w:rPr>
          <w:rFonts w:ascii="宋体" w:hAnsi="宋体" w:eastAsia="宋体" w:cs="宋体"/>
          <w:sz w:val="27"/>
          <w:szCs w:val="27"/>
        </w:rPr>
      </w:pPr>
      <w:bookmarkStart w:id="39" w:name="bookmark87"/>
      <w:bookmarkEnd w:id="39"/>
      <w:r>
        <w:rPr>
          <w:rFonts w:ascii="Times New Roman" w:hAnsi="Times New Roman" w:eastAsia="Times New Roman" w:cs="Times New Roman"/>
          <w:b/>
          <w:bCs/>
          <w:spacing w:val="6"/>
          <w:sz w:val="27"/>
          <w:szCs w:val="27"/>
        </w:rPr>
        <w:t>23.</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82-2011  </w:t>
      </w:r>
      <w:r>
        <w:rPr>
          <w:rFonts w:ascii="宋体" w:hAnsi="宋体" w:eastAsia="宋体" w:cs="宋体"/>
          <w:b/>
          <w:bCs/>
          <w:spacing w:val="6"/>
          <w:sz w:val="27"/>
          <w:szCs w:val="27"/>
        </w:rPr>
        <w:t>钢结构高强度螺栓连接技术规程【强条已废】</w:t>
      </w:r>
    </w:p>
    <w:p w14:paraId="016D4DB3">
      <w:pPr>
        <w:spacing w:before="285" w:line="220" w:lineRule="auto"/>
        <w:ind w:left="36"/>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GB55006-2021 </w:t>
      </w:r>
      <w:r>
        <w:rPr>
          <w:rFonts w:ascii="宋体" w:hAnsi="宋体" w:eastAsia="宋体" w:cs="宋体"/>
          <w:b/>
          <w:bCs/>
          <w:color w:val="0563C1"/>
          <w:spacing w:val="-2"/>
          <w:sz w:val="24"/>
          <w:szCs w:val="24"/>
          <w:u w:val="single" w:color="auto"/>
        </w:rPr>
        <w:t>钢结构通用规范</w:t>
      </w:r>
      <w:r>
        <w:rPr>
          <w:rFonts w:ascii="宋体" w:hAnsi="宋体" w:eastAsia="宋体" w:cs="宋体"/>
          <w:b/>
          <w:bCs/>
          <w:color w:val="EE0000"/>
          <w:spacing w:val="-2"/>
          <w:sz w:val="24"/>
          <w:szCs w:val="24"/>
        </w:rPr>
        <w:t>》替代</w:t>
      </w:r>
    </w:p>
    <w:p w14:paraId="53EC3810">
      <w:pPr>
        <w:spacing w:before="154" w:line="279" w:lineRule="auto"/>
        <w:ind w:left="11" w:right="180" w:hanging="2"/>
        <w:rPr>
          <w:rFonts w:ascii="宋体" w:hAnsi="宋体" w:eastAsia="宋体" w:cs="宋体"/>
          <w:sz w:val="24"/>
          <w:szCs w:val="24"/>
        </w:rPr>
      </w:pPr>
      <w:r>
        <w:rPr>
          <w:rFonts w:ascii="Times New Roman" w:hAnsi="Times New Roman" w:eastAsia="Times New Roman" w:cs="Times New Roman"/>
          <w:strike/>
          <w:sz w:val="24"/>
          <w:szCs w:val="24"/>
        </w:rPr>
        <w:t xml:space="preserve">3.1.7    </w:t>
      </w:r>
      <w:r>
        <w:rPr>
          <w:rFonts w:ascii="宋体" w:hAnsi="宋体" w:eastAsia="宋体" w:cs="宋体"/>
          <w:strike/>
          <w:sz w:val="24"/>
          <w:szCs w:val="24"/>
        </w:rPr>
        <w:t>在同</w:t>
      </w:r>
      <w:r>
        <w:rPr>
          <w:rFonts w:ascii="宋体" w:hAnsi="宋体" w:eastAsia="宋体" w:cs="宋体"/>
          <w:sz w:val="24"/>
          <w:szCs w:val="24"/>
        </w:rPr>
        <w:t>一</w:t>
      </w:r>
      <w:r>
        <w:rPr>
          <w:rFonts w:ascii="宋体" w:hAnsi="宋体" w:eastAsia="宋体" w:cs="宋体"/>
          <w:strike/>
          <w:sz w:val="24"/>
          <w:szCs w:val="24"/>
        </w:rPr>
        <w:t>连接接头中，高强度螺栓连接不应与普通螺栓</w:t>
      </w:r>
      <w:r>
        <w:rPr>
          <w:rFonts w:ascii="宋体" w:hAnsi="宋体" w:eastAsia="宋体" w:cs="宋体"/>
          <w:strike/>
          <w:spacing w:val="-1"/>
          <w:sz w:val="24"/>
          <w:szCs w:val="24"/>
        </w:rPr>
        <w:t>连接混用。承压型高强度</w:t>
      </w:r>
      <w:r>
        <w:rPr>
          <w:rFonts w:ascii="宋体" w:hAnsi="宋体" w:eastAsia="宋体" w:cs="宋体"/>
          <w:sz w:val="24"/>
          <w:szCs w:val="24"/>
        </w:rPr>
        <w:t xml:space="preserve"> </w:t>
      </w:r>
      <w:r>
        <w:rPr>
          <w:rFonts w:ascii="宋体" w:hAnsi="宋体" w:eastAsia="宋体" w:cs="宋体"/>
          <w:strike/>
          <w:spacing w:val="-1"/>
          <w:sz w:val="24"/>
          <w:szCs w:val="24"/>
        </w:rPr>
        <w:t>螺栓连接不应与焊接连接并用。</w:t>
      </w:r>
    </w:p>
    <w:p w14:paraId="05631759">
      <w:pPr>
        <w:spacing w:before="156" w:line="279" w:lineRule="auto"/>
        <w:ind w:left="12" w:right="180" w:hanging="9"/>
        <w:rPr>
          <w:rFonts w:ascii="宋体" w:hAnsi="宋体" w:eastAsia="宋体" w:cs="宋体"/>
          <w:sz w:val="24"/>
          <w:szCs w:val="24"/>
        </w:rPr>
      </w:pPr>
      <w:r>
        <w:rPr>
          <w:rFonts w:ascii="Times New Roman" w:hAnsi="Times New Roman" w:eastAsia="Times New Roman" w:cs="Times New Roman"/>
          <w:strike/>
          <w:sz w:val="24"/>
          <w:szCs w:val="24"/>
        </w:rPr>
        <w:t xml:space="preserve">4.3.1    </w:t>
      </w:r>
      <w:r>
        <w:rPr>
          <w:rFonts w:ascii="宋体" w:hAnsi="宋体" w:eastAsia="宋体" w:cs="宋体"/>
          <w:strike/>
          <w:sz w:val="24"/>
          <w:szCs w:val="24"/>
        </w:rPr>
        <w:t>每</w:t>
      </w:r>
      <w:r>
        <w:rPr>
          <w:rFonts w:ascii="宋体" w:hAnsi="宋体" w:eastAsia="宋体" w:cs="宋体"/>
          <w:sz w:val="24"/>
          <w:szCs w:val="24"/>
        </w:rPr>
        <w:t>一</w:t>
      </w:r>
      <w:r>
        <w:rPr>
          <w:rFonts w:ascii="宋体" w:hAnsi="宋体" w:eastAsia="宋体" w:cs="宋体"/>
          <w:strike/>
          <w:sz w:val="24"/>
          <w:szCs w:val="24"/>
        </w:rPr>
        <w:t>杆件在高强度螺栓连接节点及拼接接头的</w:t>
      </w:r>
      <w:r>
        <w:rPr>
          <w:rFonts w:ascii="宋体" w:hAnsi="宋体" w:eastAsia="宋体" w:cs="宋体"/>
          <w:sz w:val="24"/>
          <w:szCs w:val="24"/>
        </w:rPr>
        <w:t>一</w:t>
      </w:r>
      <w:r>
        <w:rPr>
          <w:rFonts w:ascii="宋体" w:hAnsi="宋体" w:eastAsia="宋体" w:cs="宋体"/>
          <w:strike/>
          <w:sz w:val="24"/>
          <w:szCs w:val="24"/>
        </w:rPr>
        <w:t>端，其连接的高强</w:t>
      </w:r>
      <w:r>
        <w:rPr>
          <w:rFonts w:ascii="宋体" w:hAnsi="宋体" w:eastAsia="宋体" w:cs="宋体"/>
          <w:strike/>
          <w:spacing w:val="-1"/>
          <w:sz w:val="24"/>
          <w:szCs w:val="24"/>
        </w:rPr>
        <w:t>度螺栓数量</w:t>
      </w:r>
      <w:r>
        <w:rPr>
          <w:rFonts w:ascii="宋体" w:hAnsi="宋体" w:eastAsia="宋体" w:cs="宋体"/>
          <w:sz w:val="24"/>
          <w:szCs w:val="24"/>
        </w:rPr>
        <w:t xml:space="preserve"> </w:t>
      </w:r>
      <w:r>
        <w:rPr>
          <w:rFonts w:ascii="宋体" w:hAnsi="宋体" w:eastAsia="宋体" w:cs="宋体"/>
          <w:strike/>
          <w:spacing w:val="-2"/>
          <w:sz w:val="24"/>
          <w:szCs w:val="24"/>
        </w:rPr>
        <w:t>不应少于</w:t>
      </w:r>
      <w:r>
        <w:rPr>
          <w:rFonts w:ascii="宋体" w:hAnsi="宋体" w:eastAsia="宋体" w:cs="宋体"/>
          <w:strike/>
          <w:spacing w:val="-54"/>
          <w:sz w:val="24"/>
          <w:szCs w:val="24"/>
        </w:rPr>
        <w:t xml:space="preserve"> </w:t>
      </w: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个。</w:t>
      </w:r>
    </w:p>
    <w:p w14:paraId="7BBB18FB">
      <w:pPr>
        <w:spacing w:before="154" w:line="279" w:lineRule="auto"/>
        <w:ind w:left="13" w:right="180" w:hanging="3"/>
        <w:rPr>
          <w:rFonts w:ascii="宋体" w:hAnsi="宋体" w:eastAsia="宋体" w:cs="宋体"/>
          <w:sz w:val="24"/>
          <w:szCs w:val="24"/>
        </w:rPr>
      </w:pPr>
      <w:r>
        <w:rPr>
          <w:rFonts w:ascii="Times New Roman" w:hAnsi="Times New Roman" w:eastAsia="Times New Roman" w:cs="Times New Roman"/>
          <w:strike/>
          <w:sz w:val="24"/>
          <w:szCs w:val="24"/>
        </w:rPr>
        <w:t xml:space="preserve">6.1.2    </w:t>
      </w:r>
      <w:r>
        <w:rPr>
          <w:rFonts w:ascii="宋体" w:hAnsi="宋体" w:eastAsia="宋体" w:cs="宋体"/>
          <w:strike/>
          <w:sz w:val="24"/>
          <w:szCs w:val="24"/>
        </w:rPr>
        <w:t>高强度螺栓连接副应按批配套进场，并附有出厂质</w:t>
      </w:r>
      <w:r>
        <w:rPr>
          <w:rFonts w:ascii="宋体" w:hAnsi="宋体" w:eastAsia="宋体" w:cs="宋体"/>
          <w:strike/>
          <w:spacing w:val="-1"/>
          <w:sz w:val="24"/>
          <w:szCs w:val="24"/>
        </w:rPr>
        <w:t>量保证书。高强度螺栓连接</w:t>
      </w:r>
      <w:r>
        <w:rPr>
          <w:rFonts w:ascii="宋体" w:hAnsi="宋体" w:eastAsia="宋体" w:cs="宋体"/>
          <w:sz w:val="24"/>
          <w:szCs w:val="24"/>
        </w:rPr>
        <w:t xml:space="preserve"> </w:t>
      </w:r>
      <w:r>
        <w:rPr>
          <w:rFonts w:ascii="宋体" w:hAnsi="宋体" w:eastAsia="宋体" w:cs="宋体"/>
          <w:strike/>
          <w:spacing w:val="-2"/>
          <w:sz w:val="24"/>
          <w:szCs w:val="24"/>
        </w:rPr>
        <w:t>副应在同批内配套使用。</w:t>
      </w:r>
    </w:p>
    <w:p w14:paraId="6AC7CE40">
      <w:pPr>
        <w:spacing w:before="154" w:line="299" w:lineRule="auto"/>
        <w:ind w:left="9" w:right="180"/>
        <w:rPr>
          <w:rFonts w:ascii="宋体" w:hAnsi="宋体" w:eastAsia="宋体" w:cs="宋体"/>
          <w:sz w:val="24"/>
          <w:szCs w:val="24"/>
        </w:rPr>
      </w:pPr>
      <w:r>
        <w:rPr>
          <w:rFonts w:ascii="Times New Roman" w:hAnsi="Times New Roman" w:eastAsia="Times New Roman" w:cs="Times New Roman"/>
          <w:strike/>
          <w:sz w:val="24"/>
          <w:szCs w:val="24"/>
        </w:rPr>
        <w:t xml:space="preserve">6.2.6    </w:t>
      </w:r>
      <w:r>
        <w:rPr>
          <w:rFonts w:ascii="宋体" w:hAnsi="宋体" w:eastAsia="宋体" w:cs="宋体"/>
          <w:strike/>
          <w:sz w:val="24"/>
          <w:szCs w:val="24"/>
        </w:rPr>
        <w:t>高强度螺栓连接处的钢板表面处理方法及除锈等级</w:t>
      </w:r>
      <w:r>
        <w:rPr>
          <w:rFonts w:ascii="宋体" w:hAnsi="宋体" w:eastAsia="宋体" w:cs="宋体"/>
          <w:strike/>
          <w:spacing w:val="-1"/>
          <w:sz w:val="24"/>
          <w:szCs w:val="24"/>
        </w:rPr>
        <w:t>应符合设计要求。连接处钢</w:t>
      </w:r>
      <w:r>
        <w:rPr>
          <w:rFonts w:ascii="宋体" w:hAnsi="宋体" w:eastAsia="宋体" w:cs="宋体"/>
          <w:sz w:val="24"/>
          <w:szCs w:val="24"/>
        </w:rPr>
        <w:t xml:space="preserve"> </w:t>
      </w:r>
      <w:r>
        <w:rPr>
          <w:rFonts w:ascii="宋体" w:hAnsi="宋体" w:eastAsia="宋体" w:cs="宋体"/>
          <w:strike/>
          <w:sz w:val="24"/>
          <w:szCs w:val="24"/>
        </w:rPr>
        <w:t>板表面应平整、无焊接飞溅、无毛刺、无油污。经处理后的</w:t>
      </w:r>
      <w:r>
        <w:rPr>
          <w:rFonts w:ascii="宋体" w:hAnsi="宋体" w:eastAsia="宋体" w:cs="宋体"/>
          <w:strike/>
          <w:spacing w:val="-1"/>
          <w:sz w:val="24"/>
          <w:szCs w:val="24"/>
        </w:rPr>
        <w:t>摩擦型高强度螺栓连接的</w:t>
      </w:r>
      <w:r>
        <w:rPr>
          <w:rFonts w:ascii="宋体" w:hAnsi="宋体" w:eastAsia="宋体" w:cs="宋体"/>
          <w:sz w:val="24"/>
          <w:szCs w:val="24"/>
        </w:rPr>
        <w:t xml:space="preserve"> </w:t>
      </w:r>
      <w:r>
        <w:rPr>
          <w:rFonts w:ascii="宋体" w:hAnsi="宋体" w:eastAsia="宋体" w:cs="宋体"/>
          <w:strike/>
          <w:spacing w:val="-1"/>
          <w:sz w:val="24"/>
          <w:szCs w:val="24"/>
        </w:rPr>
        <w:t>摩擦面抗滑移系数应符合设计要求。</w:t>
      </w:r>
    </w:p>
    <w:p w14:paraId="3E90071C">
      <w:pPr>
        <w:spacing w:before="154" w:line="279" w:lineRule="auto"/>
        <w:ind w:left="14" w:right="180" w:hanging="4"/>
        <w:rPr>
          <w:rFonts w:ascii="宋体" w:hAnsi="宋体" w:eastAsia="宋体" w:cs="宋体"/>
          <w:sz w:val="24"/>
          <w:szCs w:val="24"/>
        </w:rPr>
      </w:pPr>
      <w:r>
        <w:rPr>
          <w:rFonts w:ascii="Times New Roman" w:hAnsi="Times New Roman" w:eastAsia="Times New Roman" w:cs="Times New Roman"/>
          <w:strike/>
          <w:sz w:val="24"/>
          <w:szCs w:val="24"/>
        </w:rPr>
        <w:t xml:space="preserve">6.4.5    </w:t>
      </w:r>
      <w:r>
        <w:rPr>
          <w:rFonts w:ascii="宋体" w:hAnsi="宋体" w:eastAsia="宋体" w:cs="宋体"/>
          <w:strike/>
          <w:sz w:val="24"/>
          <w:szCs w:val="24"/>
        </w:rPr>
        <w:t>在安装过程中，不得使用螺纹损伤及沾染赃物的高</w:t>
      </w:r>
      <w:r>
        <w:rPr>
          <w:rFonts w:ascii="宋体" w:hAnsi="宋体" w:eastAsia="宋体" w:cs="宋体"/>
          <w:strike/>
          <w:spacing w:val="-1"/>
          <w:sz w:val="24"/>
          <w:szCs w:val="24"/>
        </w:rPr>
        <w:t>强度螺栓连接副，不得用高</w:t>
      </w:r>
      <w:r>
        <w:rPr>
          <w:rFonts w:ascii="宋体" w:hAnsi="宋体" w:eastAsia="宋体" w:cs="宋体"/>
          <w:sz w:val="24"/>
          <w:szCs w:val="24"/>
        </w:rPr>
        <w:t xml:space="preserve"> </w:t>
      </w:r>
      <w:r>
        <w:rPr>
          <w:rFonts w:ascii="宋体" w:hAnsi="宋体" w:eastAsia="宋体" w:cs="宋体"/>
          <w:strike/>
          <w:spacing w:val="-2"/>
          <w:sz w:val="24"/>
          <w:szCs w:val="24"/>
        </w:rPr>
        <w:t>强螺栓兼做临时螺栓。</w:t>
      </w:r>
    </w:p>
    <w:p w14:paraId="2C8C75D7">
      <w:pPr>
        <w:spacing w:before="155" w:line="220"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6.4.8    </w:t>
      </w:r>
      <w:r>
        <w:rPr>
          <w:rFonts w:ascii="宋体" w:hAnsi="宋体" w:eastAsia="宋体" w:cs="宋体"/>
          <w:strike/>
          <w:sz w:val="24"/>
          <w:szCs w:val="24"/>
        </w:rPr>
        <w:t>安装高强螺栓时，严禁强行穿入。当不能自由穿入</w:t>
      </w:r>
      <w:r>
        <w:rPr>
          <w:rFonts w:ascii="宋体" w:hAnsi="宋体" w:eastAsia="宋体" w:cs="宋体"/>
          <w:strike/>
          <w:spacing w:val="-1"/>
          <w:sz w:val="24"/>
          <w:szCs w:val="24"/>
        </w:rPr>
        <w:t>时，该孔应用铰刀进行修</w:t>
      </w:r>
    </w:p>
    <w:p w14:paraId="20B1B9E5">
      <w:pPr>
        <w:spacing w:before="155" w:line="278" w:lineRule="auto"/>
        <w:ind w:left="9"/>
        <w:rPr>
          <w:rFonts w:ascii="宋体" w:hAnsi="宋体" w:eastAsia="宋体" w:cs="宋体"/>
          <w:sz w:val="24"/>
          <w:szCs w:val="24"/>
        </w:rPr>
      </w:pPr>
      <w:r>
        <w:rPr>
          <w:rFonts w:ascii="宋体" w:hAnsi="宋体" w:eastAsia="宋体" w:cs="宋体"/>
          <w:strike/>
          <w:spacing w:val="-1"/>
          <w:sz w:val="24"/>
          <w:szCs w:val="24"/>
        </w:rPr>
        <w:t>整，修整后孔的最大直径不应大于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 xml:space="preserve">1.2 </w:t>
      </w:r>
      <w:r>
        <w:rPr>
          <w:rFonts w:ascii="宋体" w:hAnsi="宋体" w:eastAsia="宋体" w:cs="宋体"/>
          <w:strike/>
          <w:spacing w:val="-1"/>
          <w:sz w:val="24"/>
          <w:szCs w:val="24"/>
        </w:rPr>
        <w:t>倍螺栓直径，且修孔数量不应超过该节点螺栓数</w:t>
      </w:r>
      <w:r>
        <w:rPr>
          <w:rFonts w:ascii="宋体" w:hAnsi="宋体" w:eastAsia="宋体" w:cs="宋体"/>
          <w:sz w:val="24"/>
          <w:szCs w:val="24"/>
        </w:rPr>
        <w:t xml:space="preserve"> </w:t>
      </w:r>
      <w:r>
        <w:rPr>
          <w:rFonts w:ascii="宋体" w:hAnsi="宋体" w:eastAsia="宋体" w:cs="宋体"/>
          <w:strike/>
          <w:spacing w:val="-1"/>
          <w:sz w:val="24"/>
          <w:szCs w:val="24"/>
        </w:rPr>
        <w:t>量的</w:t>
      </w:r>
      <w:r>
        <w:rPr>
          <w:rFonts w:ascii="宋体" w:hAnsi="宋体" w:eastAsia="宋体" w:cs="宋体"/>
          <w:strike/>
          <w:spacing w:val="-44"/>
          <w:sz w:val="24"/>
          <w:szCs w:val="24"/>
        </w:rPr>
        <w:t xml:space="preserve"> </w:t>
      </w:r>
      <w:r>
        <w:rPr>
          <w:rFonts w:ascii="Times New Roman" w:hAnsi="Times New Roman" w:eastAsia="Times New Roman" w:cs="Times New Roman"/>
          <w:strike/>
          <w:spacing w:val="-1"/>
          <w:sz w:val="24"/>
          <w:szCs w:val="24"/>
        </w:rPr>
        <w:t>25%</w:t>
      </w:r>
      <w:r>
        <w:rPr>
          <w:rFonts w:ascii="宋体" w:hAnsi="宋体" w:eastAsia="宋体" w:cs="宋体"/>
          <w:strike/>
          <w:spacing w:val="-1"/>
          <w:sz w:val="24"/>
          <w:szCs w:val="24"/>
        </w:rPr>
        <w:t>。修空前应将四周螺栓全部拧紧，使板迭密贴后再进行铰孔。严禁气割扩</w:t>
      </w:r>
    </w:p>
    <w:p w14:paraId="4FEE954D">
      <w:pPr>
        <w:spacing w:before="156" w:line="221" w:lineRule="auto"/>
        <w:ind w:left="10"/>
        <w:rPr>
          <w:rFonts w:ascii="宋体" w:hAnsi="宋体" w:eastAsia="宋体" w:cs="宋体"/>
          <w:sz w:val="24"/>
          <w:szCs w:val="24"/>
        </w:rPr>
      </w:pPr>
      <w:r>
        <w:rPr>
          <w:rFonts w:ascii="宋体" w:hAnsi="宋体" w:eastAsia="宋体" w:cs="宋体"/>
          <w:strike/>
          <w:spacing w:val="-3"/>
          <w:sz w:val="24"/>
          <w:szCs w:val="24"/>
        </w:rPr>
        <w:t>孔。</w:t>
      </w:r>
    </w:p>
    <w:p w14:paraId="5B27CA87">
      <w:pPr>
        <w:spacing w:before="200" w:line="327" w:lineRule="auto"/>
        <w:ind w:left="449" w:right="412" w:hanging="443"/>
        <w:outlineLvl w:val="1"/>
        <w:rPr>
          <w:rFonts w:ascii="宋体" w:hAnsi="宋体" w:eastAsia="宋体" w:cs="宋体"/>
          <w:sz w:val="27"/>
          <w:szCs w:val="27"/>
        </w:rPr>
      </w:pPr>
      <w:bookmarkStart w:id="40" w:name="bookmark88"/>
      <w:bookmarkEnd w:id="40"/>
      <w:r>
        <w:rPr>
          <w:rFonts w:ascii="Times New Roman" w:hAnsi="Times New Roman" w:eastAsia="Times New Roman" w:cs="Times New Roman"/>
          <w:b/>
          <w:bCs/>
          <w:spacing w:val="7"/>
          <w:sz w:val="27"/>
          <w:szCs w:val="27"/>
        </w:rPr>
        <w:t>24.</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7"/>
          <w:sz w:val="27"/>
          <w:szCs w:val="27"/>
        </w:rPr>
        <w:t xml:space="preserve">85-2010  </w:t>
      </w:r>
      <w:r>
        <w:rPr>
          <w:rFonts w:ascii="宋体" w:hAnsi="宋体" w:eastAsia="宋体" w:cs="宋体"/>
          <w:b/>
          <w:bCs/>
          <w:spacing w:val="7"/>
          <w:sz w:val="27"/>
          <w:szCs w:val="27"/>
        </w:rPr>
        <w:t>预应力筋用锚具、夹具和</w:t>
      </w:r>
      <w:r>
        <w:rPr>
          <w:rFonts w:ascii="宋体" w:hAnsi="宋体" w:eastAsia="宋体" w:cs="宋体"/>
          <w:b/>
          <w:bCs/>
          <w:spacing w:val="6"/>
          <w:sz w:val="27"/>
          <w:szCs w:val="27"/>
        </w:rPr>
        <w:t>连接器应用技术规程【强条已</w:t>
      </w:r>
      <w:r>
        <w:rPr>
          <w:rFonts w:ascii="宋体" w:hAnsi="宋体" w:eastAsia="宋体" w:cs="宋体"/>
          <w:sz w:val="27"/>
          <w:szCs w:val="27"/>
        </w:rPr>
        <w:t xml:space="preserve"> </w:t>
      </w:r>
      <w:bookmarkStart w:id="41" w:name="bookmark88"/>
      <w:bookmarkEnd w:id="41"/>
      <w:r>
        <w:rPr>
          <w:rFonts w:ascii="宋体" w:hAnsi="宋体" w:eastAsia="宋体" w:cs="宋体"/>
          <w:b/>
          <w:bCs/>
          <w:spacing w:val="-2"/>
          <w:sz w:val="27"/>
          <w:szCs w:val="27"/>
        </w:rPr>
        <w:t>废】</w:t>
      </w:r>
    </w:p>
    <w:p w14:paraId="40874808">
      <w:pPr>
        <w:spacing w:before="284" w:line="220" w:lineRule="auto"/>
        <w:ind w:left="36"/>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GB55008-2021 </w:t>
      </w:r>
      <w:r>
        <w:rPr>
          <w:rFonts w:ascii="宋体" w:hAnsi="宋体" w:eastAsia="宋体" w:cs="宋体"/>
          <w:b/>
          <w:bCs/>
          <w:color w:val="0563C1"/>
          <w:spacing w:val="-2"/>
          <w:sz w:val="24"/>
          <w:szCs w:val="24"/>
          <w:u w:val="single" w:color="auto"/>
        </w:rPr>
        <w:t>混凝土结构通用规范</w:t>
      </w:r>
      <w:r>
        <w:rPr>
          <w:rFonts w:ascii="宋体" w:hAnsi="宋体" w:eastAsia="宋体" w:cs="宋体"/>
          <w:b/>
          <w:bCs/>
          <w:color w:val="EE0000"/>
          <w:spacing w:val="-2"/>
          <w:sz w:val="24"/>
          <w:szCs w:val="24"/>
        </w:rPr>
        <w:t>》替代</w:t>
      </w:r>
    </w:p>
    <w:p w14:paraId="0362E2E9">
      <w:pPr>
        <w:tabs>
          <w:tab w:val="left" w:pos="135"/>
        </w:tabs>
        <w:spacing w:before="157" w:line="337" w:lineRule="auto"/>
        <w:ind w:right="47" w:firstLine="9"/>
        <w:jc w:val="both"/>
        <w:rPr>
          <w:rFonts w:ascii="宋体" w:hAnsi="宋体" w:eastAsia="宋体" w:cs="宋体"/>
          <w:sz w:val="24"/>
          <w:szCs w:val="24"/>
        </w:rPr>
      </w:pPr>
      <w:r>
        <w:rPr>
          <w:rFonts w:ascii="Times New Roman" w:hAnsi="Times New Roman" w:eastAsia="Times New Roman" w:cs="Times New Roman"/>
          <w:strike/>
          <w:sz w:val="24"/>
          <w:szCs w:val="24"/>
        </w:rPr>
        <w:t xml:space="preserve">3.0.2    </w:t>
      </w:r>
      <w:r>
        <w:rPr>
          <w:rFonts w:ascii="宋体" w:hAnsi="宋体" w:eastAsia="宋体" w:cs="宋体"/>
          <w:strike/>
          <w:sz w:val="24"/>
          <w:szCs w:val="24"/>
        </w:rPr>
        <w:t>锚具的静载锚固性能，应由预应力筋</w:t>
      </w:r>
      <w:r>
        <w:rPr>
          <w:rFonts w:ascii="Times New Roman" w:hAnsi="Times New Roman" w:eastAsia="Times New Roman" w:cs="Times New Roman"/>
          <w:sz w:val="24"/>
          <w:szCs w:val="24"/>
        </w:rPr>
        <w:t>-</w:t>
      </w:r>
      <w:r>
        <w:rPr>
          <w:rFonts w:ascii="宋体" w:hAnsi="宋体" w:eastAsia="宋体" w:cs="宋体"/>
          <w:strike/>
          <w:sz w:val="24"/>
          <w:szCs w:val="24"/>
        </w:rPr>
        <w:t>锚具组装件静载</w:t>
      </w:r>
      <w:r>
        <w:rPr>
          <w:rFonts w:ascii="宋体" w:hAnsi="宋体" w:eastAsia="宋体" w:cs="宋体"/>
          <w:strike/>
          <w:spacing w:val="-1"/>
          <w:sz w:val="24"/>
          <w:szCs w:val="24"/>
        </w:rPr>
        <w:t>试验测定的锚具效率系数</w:t>
      </w:r>
      <w:r>
        <w:rPr>
          <w:rFonts w:ascii="宋体" w:hAnsi="宋体" w:eastAsia="宋体" w:cs="宋体"/>
          <w:sz w:val="24"/>
          <w:szCs w:val="24"/>
        </w:rPr>
        <w:t xml:space="preserve"> </w:t>
      </w:r>
      <w:r>
        <w:rPr>
          <w:rFonts w:ascii="宋体" w:hAnsi="宋体" w:eastAsia="宋体" w:cs="宋体"/>
          <w:strike/>
          <w:sz w:val="24"/>
          <w:szCs w:val="24"/>
        </w:rPr>
        <w:tab/>
      </w:r>
      <w:r>
        <w:rPr>
          <w:rFonts w:ascii="宋体" w:hAnsi="宋体" w:eastAsia="宋体" w:cs="宋体"/>
          <w:strike/>
          <w:spacing w:val="-40"/>
          <w:sz w:val="24"/>
          <w:szCs w:val="24"/>
        </w:rPr>
        <w:t>(η</w:t>
      </w:r>
      <w:r>
        <w:rPr>
          <w:rFonts w:ascii="宋体" w:hAnsi="宋体" w:eastAsia="宋体" w:cs="宋体"/>
          <w:strike/>
          <w:spacing w:val="-41"/>
          <w:sz w:val="24"/>
          <w:szCs w:val="24"/>
        </w:rPr>
        <w:t xml:space="preserve"> </w:t>
      </w:r>
      <w:r>
        <w:rPr>
          <w:rFonts w:ascii="Times New Roman" w:hAnsi="Times New Roman" w:eastAsia="Times New Roman" w:cs="Times New Roman"/>
          <w:spacing w:val="-1"/>
          <w:sz w:val="15"/>
          <w:szCs w:val="15"/>
          <w:u w:val="single" w:color="auto"/>
        </w:rPr>
        <w:t>a</w:t>
      </w:r>
      <w:r>
        <w:rPr>
          <w:rFonts w:ascii="宋体" w:hAnsi="宋体" w:eastAsia="宋体" w:cs="宋体"/>
          <w:strike/>
          <w:spacing w:val="-86"/>
          <w:sz w:val="24"/>
          <w:szCs w:val="24"/>
        </w:rPr>
        <w:t xml:space="preserve"> </w:t>
      </w:r>
      <w:r>
        <w:rPr>
          <w:rFonts w:ascii="宋体" w:hAnsi="宋体" w:eastAsia="宋体" w:cs="宋体"/>
          <w:strike/>
          <w:spacing w:val="-1"/>
          <w:sz w:val="24"/>
          <w:szCs w:val="24"/>
        </w:rPr>
        <w:t>）和达到实测极限拉力时组装件中预应力筋的总应变(ε</w:t>
      </w:r>
      <w:r>
        <w:rPr>
          <w:rFonts w:ascii="宋体" w:hAnsi="宋体" w:eastAsia="宋体" w:cs="宋体"/>
          <w:strike/>
          <w:spacing w:val="-29"/>
          <w:sz w:val="24"/>
          <w:szCs w:val="24"/>
        </w:rPr>
        <w:t xml:space="preserve"> </w:t>
      </w:r>
      <w:r>
        <w:rPr>
          <w:rFonts w:ascii="Times New Roman" w:hAnsi="Times New Roman" w:eastAsia="Times New Roman" w:cs="Times New Roman"/>
          <w:spacing w:val="-1"/>
          <w:sz w:val="15"/>
          <w:szCs w:val="15"/>
          <w:u w:val="single" w:color="auto"/>
        </w:rPr>
        <w:t>apu</w:t>
      </w:r>
      <w:r>
        <w:rPr>
          <w:rFonts w:ascii="宋体" w:hAnsi="宋体" w:eastAsia="宋体" w:cs="宋体"/>
          <w:strike/>
          <w:spacing w:val="-84"/>
          <w:sz w:val="24"/>
          <w:szCs w:val="24"/>
        </w:rPr>
        <w:t xml:space="preserve"> </w:t>
      </w:r>
      <w:r>
        <w:rPr>
          <w:rFonts w:ascii="宋体" w:hAnsi="宋体" w:eastAsia="宋体" w:cs="宋体"/>
          <w:strike/>
          <w:spacing w:val="-1"/>
          <w:sz w:val="24"/>
          <w:szCs w:val="24"/>
        </w:rPr>
        <w:t>）确定。锚具效率系</w:t>
      </w:r>
      <w:r>
        <w:rPr>
          <w:rFonts w:ascii="宋体" w:hAnsi="宋体" w:eastAsia="宋体" w:cs="宋体"/>
          <w:sz w:val="24"/>
          <w:szCs w:val="24"/>
        </w:rPr>
        <w:t xml:space="preserve"> </w:t>
      </w:r>
      <w:r>
        <w:rPr>
          <w:rFonts w:ascii="宋体" w:hAnsi="宋体" w:eastAsia="宋体" w:cs="宋体"/>
          <w:strike/>
          <w:spacing w:val="2"/>
          <w:sz w:val="24"/>
          <w:szCs w:val="24"/>
        </w:rPr>
        <w:t>数(η</w:t>
      </w:r>
      <w:r>
        <w:rPr>
          <w:rFonts w:ascii="Times New Roman" w:hAnsi="Times New Roman" w:eastAsia="Times New Roman" w:cs="Times New Roman"/>
          <w:spacing w:val="2"/>
          <w:sz w:val="15"/>
          <w:szCs w:val="15"/>
          <w:u w:val="single" w:color="auto"/>
        </w:rPr>
        <w:t>a</w:t>
      </w:r>
      <w:r>
        <w:rPr>
          <w:rFonts w:ascii="宋体" w:hAnsi="宋体" w:eastAsia="宋体" w:cs="宋体"/>
          <w:strike/>
          <w:spacing w:val="2"/>
          <w:sz w:val="24"/>
          <w:szCs w:val="24"/>
        </w:rPr>
        <w:t>）不应小于</w:t>
      </w:r>
      <w:r>
        <w:rPr>
          <w:rFonts w:ascii="宋体" w:hAnsi="宋体" w:eastAsia="宋体" w:cs="宋体"/>
          <w:strike/>
          <w:spacing w:val="-19"/>
          <w:sz w:val="24"/>
          <w:szCs w:val="24"/>
        </w:rPr>
        <w:t xml:space="preserve"> </w:t>
      </w:r>
      <w:r>
        <w:rPr>
          <w:rFonts w:ascii="Times New Roman" w:hAnsi="Times New Roman" w:eastAsia="Times New Roman" w:cs="Times New Roman"/>
          <w:strike/>
          <w:spacing w:val="2"/>
          <w:sz w:val="24"/>
          <w:szCs w:val="24"/>
        </w:rPr>
        <w:t>0.95</w:t>
      </w:r>
      <w:r>
        <w:rPr>
          <w:rFonts w:ascii="Times New Roman" w:hAnsi="Times New Roman" w:eastAsia="Times New Roman" w:cs="Times New Roman"/>
          <w:strike/>
          <w:spacing w:val="-31"/>
          <w:sz w:val="24"/>
          <w:szCs w:val="24"/>
        </w:rPr>
        <w:t xml:space="preserve"> </w:t>
      </w:r>
      <w:r>
        <w:rPr>
          <w:rFonts w:ascii="宋体" w:hAnsi="宋体" w:eastAsia="宋体" w:cs="宋体"/>
          <w:strike/>
          <w:spacing w:val="2"/>
          <w:sz w:val="24"/>
          <w:szCs w:val="24"/>
        </w:rPr>
        <w:t>，预应力筋总应变(ε</w:t>
      </w:r>
      <w:r>
        <w:rPr>
          <w:rFonts w:ascii="宋体" w:hAnsi="宋体" w:eastAsia="宋体" w:cs="宋体"/>
          <w:strike/>
          <w:spacing w:val="-29"/>
          <w:sz w:val="24"/>
          <w:szCs w:val="24"/>
        </w:rPr>
        <w:t xml:space="preserve"> </w:t>
      </w:r>
      <w:r>
        <w:rPr>
          <w:rFonts w:ascii="Times New Roman" w:hAnsi="Times New Roman" w:eastAsia="Times New Roman" w:cs="Times New Roman"/>
          <w:sz w:val="15"/>
          <w:szCs w:val="15"/>
          <w:u w:val="single" w:color="auto"/>
        </w:rPr>
        <w:t>apu</w:t>
      </w:r>
      <w:r>
        <w:rPr>
          <w:rFonts w:ascii="宋体" w:hAnsi="宋体" w:eastAsia="宋体" w:cs="宋体"/>
          <w:strike/>
          <w:spacing w:val="2"/>
          <w:sz w:val="24"/>
          <w:szCs w:val="24"/>
        </w:rPr>
        <w:t>）不应小于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0%</w:t>
      </w:r>
      <w:r>
        <w:rPr>
          <w:rFonts w:ascii="宋体" w:hAnsi="宋体" w:eastAsia="宋体" w:cs="宋体"/>
          <w:strike/>
          <w:spacing w:val="2"/>
          <w:sz w:val="24"/>
          <w:szCs w:val="24"/>
        </w:rPr>
        <w:t>。锚具效率系数应根</w:t>
      </w:r>
      <w:r>
        <w:rPr>
          <w:rFonts w:ascii="宋体" w:hAnsi="宋体" w:eastAsia="宋体" w:cs="宋体"/>
          <w:sz w:val="24"/>
          <w:szCs w:val="24"/>
        </w:rPr>
        <w:t xml:space="preserve"> </w:t>
      </w:r>
      <w:r>
        <w:rPr>
          <w:rFonts w:ascii="宋体" w:hAnsi="宋体" w:eastAsia="宋体" w:cs="宋体"/>
          <w:strike/>
          <w:spacing w:val="-1"/>
          <w:sz w:val="24"/>
          <w:szCs w:val="24"/>
        </w:rPr>
        <w:t>据试验结果并按下式计算确定：</w:t>
      </w:r>
    </w:p>
    <w:p w14:paraId="534CED79">
      <w:pPr>
        <w:spacing w:line="337" w:lineRule="auto"/>
        <w:rPr>
          <w:rFonts w:ascii="宋体" w:hAnsi="宋体" w:eastAsia="宋体" w:cs="宋体"/>
          <w:sz w:val="24"/>
          <w:szCs w:val="24"/>
        </w:rPr>
        <w:sectPr>
          <w:footerReference r:id="rId33" w:type="default"/>
          <w:pgSz w:w="11907" w:h="16839"/>
          <w:pgMar w:top="400" w:right="1429" w:bottom="743" w:left="1417" w:header="0" w:footer="582" w:gutter="0"/>
          <w:cols w:space="720" w:num="1"/>
        </w:sectPr>
      </w:pPr>
    </w:p>
    <w:p w14:paraId="098177A0">
      <w:pPr>
        <w:pStyle w:val="2"/>
        <w:spacing w:line="302" w:lineRule="auto"/>
      </w:pPr>
    </w:p>
    <w:p w14:paraId="4F9120F8">
      <w:pPr>
        <w:pStyle w:val="2"/>
        <w:spacing w:line="302" w:lineRule="auto"/>
      </w:pPr>
    </w:p>
    <w:p w14:paraId="4EB59EB5">
      <w:pPr>
        <w:pStyle w:val="2"/>
        <w:spacing w:line="302" w:lineRule="auto"/>
      </w:pPr>
    </w:p>
    <w:p w14:paraId="2ACBED4D">
      <w:pPr>
        <w:spacing w:before="78"/>
        <w:ind w:left="2859"/>
        <w:rPr>
          <w:rFonts w:ascii="宋体" w:hAnsi="宋体" w:eastAsia="宋体" w:cs="宋体"/>
          <w:sz w:val="24"/>
          <w:szCs w:val="24"/>
        </w:rPr>
      </w:pPr>
      <w:r>
        <w:rPr>
          <w:rFonts w:ascii="宋体" w:hAnsi="宋体" w:eastAsia="宋体" w:cs="宋体"/>
          <w:color w:val="102020"/>
          <w:position w:val="-33"/>
          <w:sz w:val="24"/>
          <w:szCs w:val="24"/>
        </w:rPr>
        <w:drawing>
          <wp:inline distT="0" distB="0" distL="0" distR="0">
            <wp:extent cx="889000" cy="43180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4"/>
                    <a:stretch>
                      <a:fillRect/>
                    </a:stretch>
                  </pic:blipFill>
                  <pic:spPr>
                    <a:xfrm>
                      <a:off x="0" y="0"/>
                      <a:ext cx="889013" cy="431800"/>
                    </a:xfrm>
                    <a:prstGeom prst="rect">
                      <a:avLst/>
                    </a:prstGeom>
                  </pic:spPr>
                </pic:pic>
              </a:graphicData>
            </a:graphic>
          </wp:inline>
        </w:drawing>
      </w:r>
      <w:r>
        <w:rPr>
          <w:rFonts w:ascii="宋体" w:hAnsi="宋体" w:eastAsia="宋体" w:cs="宋体"/>
          <w:color w:val="102020"/>
          <w:sz w:val="24"/>
          <w:szCs w:val="24"/>
        </w:rPr>
        <w:t xml:space="preserve">          </w:t>
      </w:r>
      <w:r>
        <w:rPr>
          <w:rFonts w:ascii="宋体" w:hAnsi="宋体" w:eastAsia="宋体" w:cs="宋体"/>
          <w:color w:val="102020"/>
          <w:spacing w:val="-7"/>
          <w:sz w:val="24"/>
          <w:szCs w:val="24"/>
        </w:rPr>
        <w:t>(3.0.2)</w:t>
      </w:r>
    </w:p>
    <w:p w14:paraId="4FF9F793">
      <w:pPr>
        <w:spacing w:before="288" w:line="219" w:lineRule="auto"/>
        <w:ind w:left="10"/>
        <w:rPr>
          <w:rFonts w:ascii="宋体" w:hAnsi="宋体" w:eastAsia="宋体" w:cs="宋体"/>
          <w:sz w:val="24"/>
          <w:szCs w:val="24"/>
        </w:rPr>
      </w:pPr>
      <w:r>
        <w:rPr>
          <w:rFonts w:ascii="宋体" w:hAnsi="宋体" w:eastAsia="宋体" w:cs="宋体"/>
          <w:spacing w:val="3"/>
          <w:sz w:val="24"/>
          <w:szCs w:val="24"/>
        </w:rPr>
        <w:t>式中：</w:t>
      </w:r>
      <w:r>
        <w:rPr>
          <w:rFonts w:ascii="宋体" w:hAnsi="宋体" w:eastAsia="宋体" w:cs="宋体"/>
          <w:spacing w:val="-38"/>
          <w:sz w:val="24"/>
          <w:szCs w:val="24"/>
        </w:rPr>
        <w:t xml:space="preserve"> </w:t>
      </w:r>
      <w:r>
        <w:rPr>
          <w:rFonts w:ascii="宋体" w:hAnsi="宋体" w:eastAsia="宋体" w:cs="宋体"/>
          <w:spacing w:val="3"/>
          <w:sz w:val="24"/>
          <w:szCs w:val="24"/>
        </w:rPr>
        <w:t>η</w:t>
      </w:r>
      <w:r>
        <w:rPr>
          <w:rFonts w:ascii="Times New Roman" w:hAnsi="Times New Roman" w:eastAsia="Times New Roman" w:cs="Times New Roman"/>
          <w:spacing w:val="3"/>
          <w:sz w:val="24"/>
          <w:szCs w:val="24"/>
        </w:rPr>
        <w:t xml:space="preserve">a—    </w:t>
      </w:r>
      <w:r>
        <w:rPr>
          <w:rFonts w:ascii="宋体" w:hAnsi="宋体" w:eastAsia="宋体" w:cs="宋体"/>
          <w:spacing w:val="3"/>
          <w:sz w:val="24"/>
          <w:szCs w:val="24"/>
        </w:rPr>
        <w:t>由预应力筋锚具组装件静载</w:t>
      </w:r>
      <w:r>
        <w:rPr>
          <w:rFonts w:ascii="宋体" w:hAnsi="宋体" w:eastAsia="宋体" w:cs="宋体"/>
          <w:spacing w:val="2"/>
          <w:sz w:val="24"/>
          <w:szCs w:val="24"/>
        </w:rPr>
        <w:t>试验测定的锚具效率系数；</w:t>
      </w:r>
    </w:p>
    <w:p w14:paraId="744A1408">
      <w:pPr>
        <w:spacing w:before="119" w:line="212" w:lineRule="auto"/>
        <w:ind w:left="499"/>
        <w:rPr>
          <w:rFonts w:ascii="Times New Roman" w:hAnsi="Times New Roman" w:eastAsia="Times New Roman" w:cs="Times New Roman"/>
          <w:sz w:val="24"/>
          <w:szCs w:val="24"/>
        </w:rPr>
      </w:pPr>
      <w:r>
        <w:rPr>
          <w:rFonts w:ascii="Times New Roman" w:hAnsi="Times New Roman" w:eastAsia="Times New Roman" w:cs="Times New Roman"/>
          <w:sz w:val="24"/>
          <w:szCs w:val="24"/>
        </w:rPr>
        <w:t>Fapu</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 xml:space="preserve">预应力筋锚具组装件的实测极限拉力( </w:t>
      </w:r>
      <w:r>
        <w:rPr>
          <w:rFonts w:ascii="Times New Roman" w:hAnsi="Times New Roman" w:eastAsia="Times New Roman" w:cs="Times New Roman"/>
          <w:spacing w:val="2"/>
          <w:sz w:val="24"/>
          <w:szCs w:val="24"/>
        </w:rPr>
        <w:t>N);</w:t>
      </w:r>
    </w:p>
    <w:p w14:paraId="7A188CBB">
      <w:pPr>
        <w:spacing w:before="173" w:line="329" w:lineRule="auto"/>
        <w:ind w:left="40" w:right="77" w:firstLine="459"/>
        <w:rPr>
          <w:rFonts w:ascii="宋体" w:hAnsi="宋体" w:eastAsia="宋体" w:cs="宋体"/>
          <w:sz w:val="24"/>
          <w:szCs w:val="24"/>
        </w:rPr>
      </w:pPr>
      <w:r>
        <w:rPr>
          <w:rFonts w:ascii="Times New Roman" w:hAnsi="Times New Roman" w:eastAsia="Times New Roman" w:cs="Times New Roman"/>
          <w:sz w:val="24"/>
          <w:szCs w:val="24"/>
        </w:rPr>
        <w:t>F</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z w:val="24"/>
          <w:szCs w:val="24"/>
        </w:rPr>
        <w:t>pm</w:t>
      </w:r>
      <w:r>
        <w:rPr>
          <w:rFonts w:ascii="Times New Roman" w:hAnsi="Times New Roman" w:eastAsia="Times New Roman" w:cs="Times New Roman"/>
          <w:spacing w:val="1"/>
          <w:sz w:val="24"/>
          <w:szCs w:val="24"/>
        </w:rPr>
        <w:t>=—</w:t>
      </w:r>
      <w:r>
        <w:rPr>
          <w:rFonts w:ascii="宋体" w:hAnsi="宋体" w:eastAsia="宋体" w:cs="宋体"/>
          <w:spacing w:val="1"/>
          <w:sz w:val="24"/>
          <w:szCs w:val="24"/>
        </w:rPr>
        <w:t xml:space="preserve">预应力筋的实际平均极限抗拉力( </w:t>
      </w:r>
      <w:r>
        <w:rPr>
          <w:rFonts w:ascii="Times New Roman" w:hAnsi="Times New Roman" w:eastAsia="Times New Roman" w:cs="Times New Roman"/>
          <w:spacing w:val="1"/>
          <w:sz w:val="24"/>
          <w:szCs w:val="24"/>
        </w:rPr>
        <w:t>N),</w:t>
      </w:r>
      <w:r>
        <w:rPr>
          <w:rFonts w:ascii="Times New Roman" w:hAnsi="Times New Roman" w:eastAsia="Times New Roman" w:cs="Times New Roman"/>
          <w:spacing w:val="27"/>
          <w:sz w:val="24"/>
          <w:szCs w:val="24"/>
        </w:rPr>
        <w:t xml:space="preserve">  </w:t>
      </w:r>
      <w:r>
        <w:rPr>
          <w:rFonts w:ascii="宋体" w:hAnsi="宋体" w:eastAsia="宋体" w:cs="宋体"/>
          <w:spacing w:val="1"/>
          <w:sz w:val="24"/>
          <w:szCs w:val="24"/>
        </w:rPr>
        <w:t>由预应力筋试件实测破断荷载平</w:t>
      </w:r>
      <w:r>
        <w:rPr>
          <w:rFonts w:ascii="宋体" w:hAnsi="宋体" w:eastAsia="宋体" w:cs="宋体"/>
          <w:sz w:val="24"/>
          <w:szCs w:val="24"/>
        </w:rPr>
        <w:t xml:space="preserve"> </w:t>
      </w:r>
      <w:r>
        <w:rPr>
          <w:rFonts w:ascii="宋体" w:hAnsi="宋体" w:eastAsia="宋体" w:cs="宋体"/>
          <w:spacing w:val="17"/>
          <w:sz w:val="24"/>
          <w:szCs w:val="24"/>
        </w:rPr>
        <w:t>均值计算确定；</w:t>
      </w:r>
    </w:p>
    <w:p w14:paraId="5CB0B2F2">
      <w:pPr>
        <w:spacing w:before="86" w:line="327" w:lineRule="auto"/>
        <w:ind w:right="32" w:firstLine="499"/>
        <w:jc w:val="both"/>
        <w:rPr>
          <w:rFonts w:ascii="宋体" w:hAnsi="宋体" w:eastAsia="宋体" w:cs="宋体"/>
          <w:sz w:val="24"/>
          <w:szCs w:val="24"/>
        </w:rPr>
      </w:pPr>
      <w:r>
        <w:rPr>
          <w:rFonts w:ascii="Times New Roman" w:hAnsi="Times New Roman" w:eastAsia="Times New Roman" w:cs="Times New Roman"/>
          <w:spacing w:val="3"/>
          <w:sz w:val="24"/>
          <w:szCs w:val="24"/>
        </w:rPr>
        <w:t>n,</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——预应力筋的效率系数，其值应按下列规定取用：预应力筋锚具组装件中</w:t>
      </w:r>
      <w:r>
        <w:rPr>
          <w:rFonts w:ascii="宋体" w:hAnsi="宋体" w:eastAsia="宋体" w:cs="宋体"/>
          <w:sz w:val="24"/>
          <w:szCs w:val="24"/>
        </w:rPr>
        <w:t xml:space="preserve"> </w:t>
      </w:r>
      <w:r>
        <w:rPr>
          <w:rFonts w:ascii="宋体" w:hAnsi="宋体" w:eastAsia="宋体" w:cs="宋体"/>
          <w:spacing w:val="14"/>
          <w:sz w:val="24"/>
          <w:szCs w:val="24"/>
        </w:rPr>
        <w:t>预应力筋为1至5根时，</w:t>
      </w:r>
      <w:r>
        <w:rPr>
          <w:rFonts w:ascii="Times New Roman" w:hAnsi="Times New Roman" w:eastAsia="Times New Roman" w:cs="Times New Roman"/>
          <w:spacing w:val="14"/>
          <w:sz w:val="24"/>
          <w:szCs w:val="24"/>
        </w:rPr>
        <w:t xml:space="preserve">n₀=1;6    </w:t>
      </w:r>
      <w:r>
        <w:rPr>
          <w:rFonts w:ascii="宋体" w:hAnsi="宋体" w:eastAsia="宋体" w:cs="宋体"/>
          <w:spacing w:val="14"/>
          <w:sz w:val="24"/>
          <w:szCs w:val="24"/>
        </w:rPr>
        <w:t>至12根时，η</w:t>
      </w:r>
      <w:r>
        <w:rPr>
          <w:rFonts w:ascii="Calibri" w:hAnsi="Calibri" w:eastAsia="Calibri" w:cs="Calibri"/>
          <w:spacing w:val="14"/>
          <w:sz w:val="24"/>
          <w:szCs w:val="24"/>
        </w:rPr>
        <w:t>₀</w:t>
      </w:r>
      <w:r>
        <w:rPr>
          <w:rFonts w:ascii="宋体" w:hAnsi="宋体" w:eastAsia="宋体" w:cs="宋体"/>
          <w:spacing w:val="14"/>
          <w:sz w:val="24"/>
          <w:szCs w:val="24"/>
        </w:rPr>
        <w:t>=0.99</w:t>
      </w:r>
      <w:r>
        <w:rPr>
          <w:rFonts w:ascii="宋体" w:hAnsi="宋体" w:eastAsia="宋体" w:cs="宋体"/>
          <w:spacing w:val="13"/>
          <w:sz w:val="24"/>
          <w:szCs w:val="24"/>
        </w:rPr>
        <w:t>;13至19根时，n,=0.98;20</w:t>
      </w:r>
      <w:r>
        <w:rPr>
          <w:rFonts w:ascii="宋体" w:hAnsi="宋体" w:eastAsia="宋体" w:cs="宋体"/>
          <w:sz w:val="24"/>
          <w:szCs w:val="24"/>
        </w:rPr>
        <w:t xml:space="preserve"> </w:t>
      </w:r>
      <w:r>
        <w:rPr>
          <w:rFonts w:ascii="宋体" w:hAnsi="宋体" w:eastAsia="宋体" w:cs="宋体"/>
          <w:spacing w:val="-9"/>
          <w:sz w:val="24"/>
          <w:szCs w:val="24"/>
        </w:rPr>
        <w:t>根及以上时，η,=0.97。</w:t>
      </w:r>
    </w:p>
    <w:p w14:paraId="07E6CA3C">
      <w:pPr>
        <w:spacing w:before="1" w:line="364" w:lineRule="auto"/>
        <w:ind w:firstLine="219"/>
        <w:rPr>
          <w:rFonts w:ascii="宋体" w:hAnsi="宋体" w:eastAsia="宋体" w:cs="宋体"/>
          <w:sz w:val="24"/>
          <w:szCs w:val="24"/>
        </w:rPr>
      </w:pPr>
      <w:r>
        <w:rPr>
          <w:rFonts w:ascii="宋体" w:hAnsi="宋体" w:eastAsia="宋体" w:cs="宋体"/>
          <w:spacing w:val="4"/>
          <w:sz w:val="24"/>
          <w:szCs w:val="24"/>
        </w:rPr>
        <w:t>预应力筋锚具组装件的破坏形式应是预应力筋的破断，锚具零件不应</w:t>
      </w:r>
      <w:r>
        <w:rPr>
          <w:rFonts w:ascii="宋体" w:hAnsi="宋体" w:eastAsia="宋体" w:cs="宋体"/>
          <w:spacing w:val="3"/>
          <w:sz w:val="24"/>
          <w:szCs w:val="24"/>
        </w:rPr>
        <w:t>碎裂。夹片式</w:t>
      </w:r>
      <w:r>
        <w:rPr>
          <w:rFonts w:ascii="宋体" w:hAnsi="宋体" w:eastAsia="宋体" w:cs="宋体"/>
          <w:sz w:val="24"/>
          <w:szCs w:val="24"/>
        </w:rPr>
        <w:t xml:space="preserve"> </w:t>
      </w:r>
      <w:r>
        <w:rPr>
          <w:rFonts w:ascii="宋体" w:hAnsi="宋体" w:eastAsia="宋体" w:cs="宋体"/>
          <w:spacing w:val="7"/>
          <w:sz w:val="24"/>
          <w:szCs w:val="24"/>
        </w:rPr>
        <w:t>锚具的夹片在预应力筋拉应力未超过0.8</w:t>
      </w:r>
      <w:r>
        <w:rPr>
          <w:rFonts w:ascii="Times New Roman" w:hAnsi="Times New Roman" w:eastAsia="Times New Roman" w:cs="Times New Roman"/>
          <w:spacing w:val="7"/>
          <w:sz w:val="24"/>
          <w:szCs w:val="24"/>
        </w:rPr>
        <w:t>f</w:t>
      </w:r>
      <w:r>
        <w:rPr>
          <w:rFonts w:ascii="Times New Roman" w:hAnsi="Times New Roman" w:eastAsia="Times New Roman" w:cs="Times New Roman"/>
          <w:spacing w:val="5"/>
          <w:sz w:val="24"/>
          <w:szCs w:val="24"/>
        </w:rPr>
        <w:t xml:space="preserve">    </w:t>
      </w:r>
      <w:r>
        <w:rPr>
          <w:rFonts w:ascii="宋体" w:hAnsi="宋体" w:eastAsia="宋体" w:cs="宋体"/>
          <w:spacing w:val="7"/>
          <w:sz w:val="24"/>
          <w:szCs w:val="24"/>
        </w:rPr>
        <w:t>时不应出现裂纹。</w:t>
      </w:r>
    </w:p>
    <w:p w14:paraId="0783B4E2">
      <w:pPr>
        <w:spacing w:line="219" w:lineRule="auto"/>
        <w:ind w:left="30"/>
        <w:outlineLvl w:val="1"/>
        <w:rPr>
          <w:rFonts w:ascii="宋体" w:hAnsi="宋体" w:eastAsia="宋体" w:cs="宋体"/>
          <w:sz w:val="24"/>
          <w:szCs w:val="24"/>
        </w:rPr>
      </w:pPr>
      <w:bookmarkStart w:id="42" w:name="bookmark89"/>
      <w:bookmarkEnd w:id="42"/>
      <w:r>
        <w:rPr>
          <w:rFonts w:ascii="Times New Roman" w:hAnsi="Times New Roman" w:eastAsia="Times New Roman" w:cs="Times New Roman"/>
          <w:b/>
          <w:bCs/>
          <w:spacing w:val="25"/>
          <w:sz w:val="24"/>
          <w:szCs w:val="24"/>
        </w:rPr>
        <w:t>25.</w:t>
      </w:r>
      <w:r>
        <w:rPr>
          <w:rFonts w:ascii="Times New Roman" w:hAnsi="Times New Roman" w:eastAsia="Times New Roman" w:cs="Times New Roman"/>
          <w:b/>
          <w:bCs/>
          <w:sz w:val="24"/>
          <w:szCs w:val="24"/>
        </w:rPr>
        <w:t>JGJ</w:t>
      </w:r>
      <w:r>
        <w:rPr>
          <w:rFonts w:ascii="Times New Roman" w:hAnsi="Times New Roman" w:eastAsia="Times New Roman" w:cs="Times New Roman"/>
          <w:b/>
          <w:bCs/>
          <w:spacing w:val="25"/>
          <w:sz w:val="24"/>
          <w:szCs w:val="24"/>
        </w:rPr>
        <w:t xml:space="preserve">92-2016     </w:t>
      </w:r>
      <w:r>
        <w:rPr>
          <w:rFonts w:ascii="宋体" w:hAnsi="宋体" w:eastAsia="宋体" w:cs="宋体"/>
          <w:b/>
          <w:bCs/>
          <w:spacing w:val="25"/>
          <w:sz w:val="24"/>
          <w:szCs w:val="24"/>
        </w:rPr>
        <w:t>无粘结预应力混凝土结构技术规程【强</w:t>
      </w:r>
      <w:r>
        <w:rPr>
          <w:rFonts w:ascii="宋体" w:hAnsi="宋体" w:eastAsia="宋体" w:cs="宋体"/>
          <w:b/>
          <w:bCs/>
          <w:spacing w:val="24"/>
          <w:sz w:val="24"/>
          <w:szCs w:val="24"/>
        </w:rPr>
        <w:t>条已废】</w:t>
      </w:r>
    </w:p>
    <w:p w14:paraId="4CA05EC2">
      <w:pPr>
        <w:spacing w:before="315" w:line="219" w:lineRule="auto"/>
        <w:ind w:left="53"/>
        <w:rPr>
          <w:rFonts w:ascii="宋体" w:hAnsi="宋体" w:eastAsia="宋体" w:cs="宋体"/>
          <w:sz w:val="24"/>
          <w:szCs w:val="24"/>
        </w:rPr>
      </w:pPr>
      <w:r>
        <w:rPr>
          <w:rFonts w:ascii="宋体" w:hAnsi="宋体" w:eastAsia="宋体" w:cs="宋体"/>
          <w:b/>
          <w:bCs/>
          <w:color w:val="FF0000"/>
          <w:spacing w:val="-2"/>
          <w:sz w:val="24"/>
          <w:szCs w:val="24"/>
        </w:rPr>
        <w:t>以下条目已被</w:t>
      </w:r>
      <w:r>
        <w:rPr>
          <w:rFonts w:ascii="宋体" w:hAnsi="宋体" w:eastAsia="宋体" w:cs="宋体"/>
          <w:b/>
          <w:bCs/>
          <w:color w:val="FF0000"/>
          <w:spacing w:val="-2"/>
          <w:sz w:val="24"/>
          <w:szCs w:val="24"/>
          <w:u w:val="single" w:color="000000"/>
        </w:rPr>
        <w:t>《混凝土结构通用规范》</w:t>
      </w:r>
      <w:r>
        <w:rPr>
          <w:rFonts w:ascii="Times New Roman" w:hAnsi="Times New Roman" w:eastAsia="Times New Roman" w:cs="Times New Roman"/>
          <w:b/>
          <w:bCs/>
          <w:color w:val="FF0000"/>
          <w:spacing w:val="-2"/>
          <w:sz w:val="24"/>
          <w:szCs w:val="24"/>
          <w:u w:val="single" w:color="000000"/>
        </w:rPr>
        <w:t xml:space="preserve">GB55008-2021 </w:t>
      </w:r>
      <w:r>
        <w:rPr>
          <w:rFonts w:ascii="宋体" w:hAnsi="宋体" w:eastAsia="宋体" w:cs="宋体"/>
          <w:b/>
          <w:bCs/>
          <w:color w:val="FF0000"/>
          <w:spacing w:val="-2"/>
          <w:sz w:val="24"/>
          <w:szCs w:val="24"/>
        </w:rPr>
        <w:t>替代</w:t>
      </w:r>
    </w:p>
    <w:p w14:paraId="5CC4A4F4">
      <w:pPr>
        <w:spacing w:before="139" w:line="279" w:lineRule="auto"/>
        <w:ind w:left="10" w:right="3"/>
        <w:rPr>
          <w:rFonts w:ascii="宋体" w:hAnsi="宋体" w:eastAsia="宋体" w:cs="宋体"/>
          <w:sz w:val="24"/>
          <w:szCs w:val="24"/>
        </w:rPr>
      </w:pPr>
      <w:r>
        <w:rPr>
          <w:rFonts w:ascii="宋体" w:hAnsi="宋体" w:eastAsia="宋体" w:cs="宋体"/>
          <w:sz w:val="24"/>
          <w:szCs w:val="24"/>
        </w:rPr>
        <w:t>3.1.1无粘结预应力混凝土结构构件，除应根据设</w:t>
      </w:r>
      <w:r>
        <w:rPr>
          <w:rFonts w:ascii="宋体" w:hAnsi="宋体" w:eastAsia="宋体" w:cs="宋体"/>
          <w:spacing w:val="-1"/>
          <w:sz w:val="24"/>
          <w:szCs w:val="24"/>
        </w:rPr>
        <w:t>计状况进行承载力计算及正常使用极</w:t>
      </w:r>
      <w:r>
        <w:rPr>
          <w:rFonts w:ascii="宋体" w:hAnsi="宋体" w:eastAsia="宋体" w:cs="宋体"/>
          <w:sz w:val="24"/>
          <w:szCs w:val="24"/>
        </w:rPr>
        <w:t xml:space="preserve"> </w:t>
      </w:r>
      <w:r>
        <w:rPr>
          <w:rFonts w:ascii="宋体" w:hAnsi="宋体" w:eastAsia="宋体" w:cs="宋体"/>
          <w:spacing w:val="5"/>
          <w:sz w:val="24"/>
          <w:szCs w:val="24"/>
        </w:rPr>
        <w:t>限状态验算外，尚应在施工阶段对实际受力状态进行验算。</w:t>
      </w:r>
    </w:p>
    <w:p w14:paraId="6537592E">
      <w:pPr>
        <w:pStyle w:val="2"/>
        <w:spacing w:line="252" w:lineRule="auto"/>
      </w:pPr>
    </w:p>
    <w:p w14:paraId="2FC59875">
      <w:pPr>
        <w:pStyle w:val="2"/>
        <w:spacing w:line="252" w:lineRule="auto"/>
      </w:pPr>
    </w:p>
    <w:p w14:paraId="2A9C9311">
      <w:pPr>
        <w:spacing w:before="78" w:line="219" w:lineRule="auto"/>
        <w:ind w:left="30"/>
        <w:rPr>
          <w:rFonts w:ascii="宋体" w:hAnsi="宋体" w:eastAsia="宋体" w:cs="宋体"/>
          <w:sz w:val="24"/>
          <w:szCs w:val="24"/>
        </w:rPr>
      </w:pPr>
      <w:r>
        <w:rPr>
          <w:rFonts w:ascii="宋体" w:hAnsi="宋体" w:eastAsia="宋体" w:cs="宋体"/>
          <w:spacing w:val="-1"/>
          <w:sz w:val="24"/>
          <w:szCs w:val="24"/>
        </w:rPr>
        <w:t>3.2.1根据不同耐火极限的要求，无粘结预应力钢绞线的混凝土保护层最小厚度应按表</w:t>
      </w:r>
    </w:p>
    <w:p w14:paraId="14EE5D86">
      <w:pPr>
        <w:spacing w:before="153" w:line="219" w:lineRule="auto"/>
        <w:ind w:left="30"/>
        <w:rPr>
          <w:rFonts w:ascii="宋体" w:hAnsi="宋体" w:eastAsia="宋体" w:cs="宋体"/>
          <w:sz w:val="24"/>
          <w:szCs w:val="24"/>
        </w:rPr>
      </w:pPr>
      <w:r>
        <w:rPr>
          <w:rFonts w:ascii="宋体" w:hAnsi="宋体" w:eastAsia="宋体" w:cs="宋体"/>
          <w:spacing w:val="6"/>
          <w:sz w:val="24"/>
          <w:szCs w:val="24"/>
        </w:rPr>
        <w:t>3.2.1-1及表3.2.12采用。</w:t>
      </w:r>
    </w:p>
    <w:p w14:paraId="61445327">
      <w:pPr>
        <w:pStyle w:val="2"/>
        <w:spacing w:before="148" w:line="327" w:lineRule="exact"/>
        <w:ind w:left="1849"/>
        <w:rPr>
          <w:sz w:val="24"/>
          <w:szCs w:val="24"/>
        </w:rPr>
      </w:pPr>
      <w:r>
        <w:rPr>
          <w:rFonts w:ascii="黑体" w:hAnsi="黑体" w:eastAsia="黑体" w:cs="黑体"/>
          <w:spacing w:val="20"/>
          <w:position w:val="2"/>
          <w:sz w:val="24"/>
          <w:szCs w:val="24"/>
        </w:rPr>
        <w:t>表3.2.1-1</w:t>
      </w:r>
      <w:r>
        <w:rPr>
          <w:rFonts w:ascii="黑体" w:hAnsi="黑体" w:eastAsia="黑体" w:cs="黑体"/>
          <w:spacing w:val="117"/>
          <w:position w:val="2"/>
          <w:sz w:val="24"/>
          <w:szCs w:val="24"/>
        </w:rPr>
        <w:t xml:space="preserve"> </w:t>
      </w:r>
      <w:r>
        <w:rPr>
          <w:rFonts w:ascii="黑体" w:hAnsi="黑体" w:eastAsia="黑体" w:cs="黑体"/>
          <w:spacing w:val="20"/>
          <w:position w:val="2"/>
          <w:sz w:val="24"/>
          <w:szCs w:val="24"/>
        </w:rPr>
        <w:t>板的混凝土保护层最小厚度</w:t>
      </w:r>
      <w:r>
        <w:rPr>
          <w:rFonts w:ascii="黑体" w:hAnsi="黑体" w:eastAsia="黑体" w:cs="黑体"/>
          <w:spacing w:val="-11"/>
          <w:position w:val="2"/>
          <w:sz w:val="24"/>
          <w:szCs w:val="24"/>
        </w:rPr>
        <w:t xml:space="preserve"> </w:t>
      </w:r>
      <w:r>
        <w:rPr>
          <w:spacing w:val="20"/>
          <w:position w:val="2"/>
          <w:sz w:val="24"/>
          <w:szCs w:val="24"/>
        </w:rPr>
        <w:t>(</w:t>
      </w:r>
      <w:r>
        <w:rPr>
          <w:position w:val="2"/>
          <w:sz w:val="24"/>
          <w:szCs w:val="24"/>
        </w:rPr>
        <w:t>mm</w:t>
      </w:r>
      <w:r>
        <w:rPr>
          <w:spacing w:val="20"/>
          <w:position w:val="2"/>
          <w:sz w:val="24"/>
          <w:szCs w:val="24"/>
        </w:rPr>
        <w:t>)</w:t>
      </w:r>
    </w:p>
    <w:p w14:paraId="51D86A61">
      <w:pPr>
        <w:spacing w:line="137" w:lineRule="exact"/>
      </w:pPr>
    </w:p>
    <w:tbl>
      <w:tblPr>
        <w:tblStyle w:val="5"/>
        <w:tblW w:w="8609" w:type="dxa"/>
        <w:tblInd w:w="3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1628"/>
        <w:gridCol w:w="1638"/>
        <w:gridCol w:w="1628"/>
        <w:gridCol w:w="2082"/>
      </w:tblGrid>
      <w:tr w14:paraId="7FA3F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633" w:type="dxa"/>
            <w:vMerge w:val="restart"/>
            <w:tcBorders>
              <w:bottom w:val="nil"/>
            </w:tcBorders>
            <w:vAlign w:val="top"/>
          </w:tcPr>
          <w:p w14:paraId="03713FE8">
            <w:pPr>
              <w:spacing w:line="275" w:lineRule="auto"/>
              <w:rPr>
                <w:rFonts w:ascii="Arial"/>
                <w:sz w:val="21"/>
              </w:rPr>
            </w:pPr>
          </w:p>
          <w:p w14:paraId="1962EC20">
            <w:pPr>
              <w:pStyle w:val="6"/>
              <w:spacing w:before="78" w:line="219" w:lineRule="auto"/>
              <w:ind w:left="325"/>
              <w:rPr>
                <w:sz w:val="24"/>
                <w:szCs w:val="24"/>
              </w:rPr>
            </w:pPr>
            <w:r>
              <w:rPr>
                <w:spacing w:val="2"/>
                <w:sz w:val="24"/>
                <w:szCs w:val="24"/>
              </w:rPr>
              <w:t>约束条件</w:t>
            </w:r>
          </w:p>
        </w:tc>
        <w:tc>
          <w:tcPr>
            <w:tcW w:w="6976" w:type="dxa"/>
            <w:gridSpan w:val="4"/>
            <w:vAlign w:val="top"/>
          </w:tcPr>
          <w:p w14:paraId="5E1C8EF1">
            <w:pPr>
              <w:pStyle w:val="6"/>
              <w:spacing w:before="111" w:line="219" w:lineRule="auto"/>
              <w:ind w:left="2785"/>
              <w:rPr>
                <w:sz w:val="24"/>
                <w:szCs w:val="24"/>
              </w:rPr>
            </w:pPr>
            <w:r>
              <w:rPr>
                <w:b/>
                <w:bCs/>
                <w:spacing w:val="4"/>
                <w:sz w:val="24"/>
                <w:szCs w:val="24"/>
              </w:rPr>
              <w:t>耐火极限(h)</w:t>
            </w:r>
          </w:p>
        </w:tc>
      </w:tr>
      <w:tr w14:paraId="00A21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1633" w:type="dxa"/>
            <w:vMerge w:val="continue"/>
            <w:tcBorders>
              <w:top w:val="nil"/>
            </w:tcBorders>
            <w:vAlign w:val="top"/>
          </w:tcPr>
          <w:p w14:paraId="1EEA33CE">
            <w:pPr>
              <w:rPr>
                <w:rFonts w:ascii="Arial"/>
                <w:sz w:val="21"/>
              </w:rPr>
            </w:pPr>
          </w:p>
        </w:tc>
        <w:tc>
          <w:tcPr>
            <w:tcW w:w="1628" w:type="dxa"/>
            <w:vAlign w:val="top"/>
          </w:tcPr>
          <w:p w14:paraId="0C394E0C">
            <w:pPr>
              <w:pStyle w:val="6"/>
              <w:spacing w:before="137" w:line="239" w:lineRule="auto"/>
              <w:ind w:left="741"/>
              <w:rPr>
                <w:sz w:val="24"/>
                <w:szCs w:val="24"/>
              </w:rPr>
            </w:pPr>
            <w:r>
              <w:rPr>
                <w:sz w:val="24"/>
                <w:szCs w:val="24"/>
              </w:rPr>
              <w:t>1</w:t>
            </w:r>
          </w:p>
        </w:tc>
        <w:tc>
          <w:tcPr>
            <w:tcW w:w="1638" w:type="dxa"/>
            <w:vAlign w:val="top"/>
          </w:tcPr>
          <w:p w14:paraId="682F33AA">
            <w:pPr>
              <w:pStyle w:val="6"/>
              <w:spacing w:before="134" w:line="239" w:lineRule="auto"/>
              <w:ind w:left="637"/>
              <w:rPr>
                <w:sz w:val="24"/>
                <w:szCs w:val="24"/>
              </w:rPr>
            </w:pPr>
            <w:r>
              <w:rPr>
                <w:b/>
                <w:bCs/>
                <w:spacing w:val="-9"/>
                <w:sz w:val="24"/>
                <w:szCs w:val="24"/>
              </w:rPr>
              <w:t>1.5</w:t>
            </w:r>
          </w:p>
        </w:tc>
        <w:tc>
          <w:tcPr>
            <w:tcW w:w="1628" w:type="dxa"/>
            <w:vAlign w:val="top"/>
          </w:tcPr>
          <w:p w14:paraId="1FE0BA9C">
            <w:pPr>
              <w:pStyle w:val="6"/>
              <w:spacing w:before="137" w:line="239" w:lineRule="auto"/>
              <w:ind w:left="745"/>
              <w:rPr>
                <w:sz w:val="24"/>
                <w:szCs w:val="24"/>
              </w:rPr>
            </w:pPr>
            <w:r>
              <w:rPr>
                <w:sz w:val="24"/>
                <w:szCs w:val="24"/>
              </w:rPr>
              <w:t>2</w:t>
            </w:r>
          </w:p>
        </w:tc>
        <w:tc>
          <w:tcPr>
            <w:tcW w:w="2082" w:type="dxa"/>
            <w:vAlign w:val="top"/>
          </w:tcPr>
          <w:p w14:paraId="5CB2F75B">
            <w:pPr>
              <w:pStyle w:val="6"/>
              <w:spacing w:before="137" w:line="239" w:lineRule="auto"/>
              <w:ind w:left="977"/>
              <w:rPr>
                <w:sz w:val="24"/>
                <w:szCs w:val="24"/>
              </w:rPr>
            </w:pPr>
            <w:r>
              <w:rPr>
                <w:sz w:val="24"/>
                <w:szCs w:val="24"/>
              </w:rPr>
              <w:t>3</w:t>
            </w:r>
          </w:p>
        </w:tc>
      </w:tr>
      <w:tr w14:paraId="080BF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633" w:type="dxa"/>
            <w:vAlign w:val="top"/>
          </w:tcPr>
          <w:p w14:paraId="506743EC">
            <w:pPr>
              <w:pStyle w:val="6"/>
              <w:spacing w:before="113" w:line="219" w:lineRule="auto"/>
              <w:ind w:left="565"/>
              <w:rPr>
                <w:sz w:val="24"/>
                <w:szCs w:val="24"/>
              </w:rPr>
            </w:pPr>
            <w:r>
              <w:rPr>
                <w:spacing w:val="6"/>
                <w:sz w:val="24"/>
                <w:szCs w:val="24"/>
              </w:rPr>
              <w:t>简支</w:t>
            </w:r>
          </w:p>
        </w:tc>
        <w:tc>
          <w:tcPr>
            <w:tcW w:w="1628" w:type="dxa"/>
            <w:vAlign w:val="top"/>
          </w:tcPr>
          <w:p w14:paraId="534734D0">
            <w:pPr>
              <w:pStyle w:val="6"/>
              <w:spacing w:before="138" w:line="237" w:lineRule="auto"/>
              <w:ind w:left="681"/>
              <w:rPr>
                <w:sz w:val="24"/>
                <w:szCs w:val="24"/>
              </w:rPr>
            </w:pPr>
            <w:r>
              <w:rPr>
                <w:spacing w:val="-4"/>
                <w:sz w:val="24"/>
                <w:szCs w:val="24"/>
              </w:rPr>
              <w:t>25</w:t>
            </w:r>
          </w:p>
        </w:tc>
        <w:tc>
          <w:tcPr>
            <w:tcW w:w="1638" w:type="dxa"/>
            <w:vAlign w:val="top"/>
          </w:tcPr>
          <w:p w14:paraId="696450B2">
            <w:pPr>
              <w:pStyle w:val="6"/>
              <w:spacing w:before="138" w:line="237" w:lineRule="auto"/>
              <w:ind w:left="693"/>
              <w:rPr>
                <w:sz w:val="24"/>
                <w:szCs w:val="24"/>
              </w:rPr>
            </w:pPr>
            <w:r>
              <w:rPr>
                <w:spacing w:val="-4"/>
                <w:sz w:val="24"/>
                <w:szCs w:val="24"/>
              </w:rPr>
              <w:t>30</w:t>
            </w:r>
          </w:p>
        </w:tc>
        <w:tc>
          <w:tcPr>
            <w:tcW w:w="1628" w:type="dxa"/>
            <w:vAlign w:val="top"/>
          </w:tcPr>
          <w:p w14:paraId="48A069A8">
            <w:pPr>
              <w:pStyle w:val="6"/>
              <w:spacing w:before="137" w:line="238" w:lineRule="auto"/>
              <w:ind w:left="689"/>
              <w:rPr>
                <w:sz w:val="24"/>
                <w:szCs w:val="24"/>
              </w:rPr>
            </w:pPr>
            <w:r>
              <w:rPr>
                <w:b/>
                <w:bCs/>
                <w:spacing w:val="-5"/>
                <w:sz w:val="24"/>
                <w:szCs w:val="24"/>
              </w:rPr>
              <w:t>40</w:t>
            </w:r>
          </w:p>
        </w:tc>
        <w:tc>
          <w:tcPr>
            <w:tcW w:w="2082" w:type="dxa"/>
            <w:vAlign w:val="top"/>
          </w:tcPr>
          <w:p w14:paraId="548942A4">
            <w:pPr>
              <w:pStyle w:val="6"/>
              <w:spacing w:before="138" w:line="237" w:lineRule="auto"/>
              <w:ind w:left="917"/>
              <w:rPr>
                <w:sz w:val="24"/>
                <w:szCs w:val="24"/>
              </w:rPr>
            </w:pPr>
            <w:r>
              <w:rPr>
                <w:spacing w:val="-4"/>
                <w:sz w:val="24"/>
                <w:szCs w:val="24"/>
              </w:rPr>
              <w:t>55</w:t>
            </w:r>
          </w:p>
        </w:tc>
      </w:tr>
      <w:tr w14:paraId="4253E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633" w:type="dxa"/>
            <w:vAlign w:val="top"/>
          </w:tcPr>
          <w:p w14:paraId="4298C1DA">
            <w:pPr>
              <w:pStyle w:val="6"/>
              <w:spacing w:before="118" w:line="220" w:lineRule="auto"/>
              <w:ind w:left="565"/>
              <w:rPr>
                <w:sz w:val="24"/>
                <w:szCs w:val="24"/>
              </w:rPr>
            </w:pPr>
            <w:r>
              <w:rPr>
                <w:spacing w:val="6"/>
                <w:sz w:val="24"/>
                <w:szCs w:val="24"/>
              </w:rPr>
              <w:t>连续</w:t>
            </w:r>
          </w:p>
        </w:tc>
        <w:tc>
          <w:tcPr>
            <w:tcW w:w="1628" w:type="dxa"/>
            <w:vAlign w:val="top"/>
          </w:tcPr>
          <w:p w14:paraId="20B432AB">
            <w:pPr>
              <w:pStyle w:val="6"/>
              <w:spacing w:before="141" w:line="232" w:lineRule="auto"/>
              <w:ind w:left="681"/>
              <w:rPr>
                <w:sz w:val="24"/>
                <w:szCs w:val="24"/>
              </w:rPr>
            </w:pPr>
            <w:r>
              <w:rPr>
                <w:spacing w:val="-4"/>
                <w:sz w:val="24"/>
                <w:szCs w:val="24"/>
              </w:rPr>
              <w:t>20</w:t>
            </w:r>
          </w:p>
        </w:tc>
        <w:tc>
          <w:tcPr>
            <w:tcW w:w="1638" w:type="dxa"/>
            <w:vAlign w:val="top"/>
          </w:tcPr>
          <w:p w14:paraId="4401C1B9">
            <w:pPr>
              <w:pStyle w:val="6"/>
              <w:spacing w:before="141" w:line="232" w:lineRule="auto"/>
              <w:ind w:left="693"/>
              <w:rPr>
                <w:sz w:val="24"/>
                <w:szCs w:val="24"/>
              </w:rPr>
            </w:pPr>
            <w:r>
              <w:rPr>
                <w:spacing w:val="-4"/>
                <w:sz w:val="24"/>
                <w:szCs w:val="24"/>
              </w:rPr>
              <w:t>20</w:t>
            </w:r>
          </w:p>
        </w:tc>
        <w:tc>
          <w:tcPr>
            <w:tcW w:w="1628" w:type="dxa"/>
            <w:vAlign w:val="top"/>
          </w:tcPr>
          <w:p w14:paraId="4BF7F3FB">
            <w:pPr>
              <w:pStyle w:val="6"/>
              <w:spacing w:before="140" w:line="233" w:lineRule="auto"/>
              <w:ind w:left="689"/>
              <w:rPr>
                <w:sz w:val="24"/>
                <w:szCs w:val="24"/>
              </w:rPr>
            </w:pPr>
            <w:r>
              <w:rPr>
                <w:b/>
                <w:bCs/>
                <w:spacing w:val="-6"/>
                <w:sz w:val="24"/>
                <w:szCs w:val="24"/>
              </w:rPr>
              <w:t>25</w:t>
            </w:r>
          </w:p>
        </w:tc>
        <w:tc>
          <w:tcPr>
            <w:tcW w:w="2082" w:type="dxa"/>
            <w:vAlign w:val="top"/>
          </w:tcPr>
          <w:p w14:paraId="75506D06">
            <w:pPr>
              <w:pStyle w:val="6"/>
              <w:spacing w:before="141" w:line="232" w:lineRule="auto"/>
              <w:ind w:left="917"/>
              <w:rPr>
                <w:sz w:val="24"/>
                <w:szCs w:val="24"/>
              </w:rPr>
            </w:pPr>
            <w:r>
              <w:rPr>
                <w:spacing w:val="-4"/>
                <w:sz w:val="24"/>
                <w:szCs w:val="24"/>
              </w:rPr>
              <w:t>30</w:t>
            </w:r>
          </w:p>
        </w:tc>
      </w:tr>
    </w:tbl>
    <w:p w14:paraId="3B2EBFF6">
      <w:pPr>
        <w:pStyle w:val="2"/>
        <w:spacing w:line="278" w:lineRule="auto"/>
      </w:pPr>
    </w:p>
    <w:p w14:paraId="6E90A5DB">
      <w:pPr>
        <w:spacing w:before="78" w:line="212" w:lineRule="auto"/>
        <w:ind w:left="1879"/>
        <w:rPr>
          <w:rFonts w:ascii="Times New Roman" w:hAnsi="Times New Roman" w:eastAsia="Times New Roman" w:cs="Times New Roman"/>
          <w:sz w:val="24"/>
          <w:szCs w:val="24"/>
        </w:rPr>
      </w:pPr>
      <w:r>
        <w:rPr>
          <w:rFonts w:ascii="黑体" w:hAnsi="黑体" w:eastAsia="黑体" w:cs="黑体"/>
          <w:spacing w:val="19"/>
          <w:sz w:val="24"/>
          <w:szCs w:val="24"/>
        </w:rPr>
        <w:t>表3.2.1-2</w:t>
      </w:r>
      <w:r>
        <w:rPr>
          <w:rFonts w:ascii="黑体" w:hAnsi="黑体" w:eastAsia="黑体" w:cs="黑体"/>
          <w:spacing w:val="123"/>
          <w:sz w:val="24"/>
          <w:szCs w:val="24"/>
        </w:rPr>
        <w:t xml:space="preserve"> </w:t>
      </w:r>
      <w:r>
        <w:rPr>
          <w:rFonts w:ascii="黑体" w:hAnsi="黑体" w:eastAsia="黑体" w:cs="黑体"/>
          <w:spacing w:val="19"/>
          <w:sz w:val="24"/>
          <w:szCs w:val="24"/>
        </w:rPr>
        <w:t xml:space="preserve">梁的混凝土保护层最小厚度 </w:t>
      </w:r>
      <w:r>
        <w:rPr>
          <w:rFonts w:ascii="Times New Roman" w:hAnsi="Times New Roman" w:eastAsia="Times New Roman" w:cs="Times New Roman"/>
          <w:spacing w:val="19"/>
          <w:sz w:val="24"/>
          <w:szCs w:val="24"/>
        </w:rPr>
        <w:t>(</w:t>
      </w:r>
      <w:r>
        <w:rPr>
          <w:rFonts w:ascii="Times New Roman" w:hAnsi="Times New Roman" w:eastAsia="Times New Roman" w:cs="Times New Roman"/>
          <w:sz w:val="24"/>
          <w:szCs w:val="24"/>
        </w:rPr>
        <w:t>mm</w:t>
      </w:r>
      <w:r>
        <w:rPr>
          <w:rFonts w:ascii="Times New Roman" w:hAnsi="Times New Roman" w:eastAsia="Times New Roman" w:cs="Times New Roman"/>
          <w:spacing w:val="19"/>
          <w:sz w:val="24"/>
          <w:szCs w:val="24"/>
        </w:rPr>
        <w:t>)</w:t>
      </w:r>
    </w:p>
    <w:p w14:paraId="616E70BC">
      <w:pPr>
        <w:spacing w:line="167" w:lineRule="exact"/>
      </w:pPr>
    </w:p>
    <w:tbl>
      <w:tblPr>
        <w:tblStyle w:val="5"/>
        <w:tblW w:w="8609" w:type="dxa"/>
        <w:tblInd w:w="3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2327"/>
        <w:gridCol w:w="1398"/>
        <w:gridCol w:w="1398"/>
        <w:gridCol w:w="1408"/>
        <w:gridCol w:w="1144"/>
      </w:tblGrid>
      <w:tr w14:paraId="5ED05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934" w:type="dxa"/>
            <w:vMerge w:val="restart"/>
            <w:tcBorders>
              <w:bottom w:val="nil"/>
            </w:tcBorders>
            <w:vAlign w:val="top"/>
          </w:tcPr>
          <w:p w14:paraId="707BC74E">
            <w:pPr>
              <w:pStyle w:val="6"/>
              <w:spacing w:before="135" w:line="219" w:lineRule="auto"/>
              <w:ind w:left="214"/>
              <w:rPr>
                <w:sz w:val="24"/>
                <w:szCs w:val="24"/>
              </w:rPr>
            </w:pPr>
            <w:r>
              <w:rPr>
                <w:spacing w:val="6"/>
                <w:sz w:val="24"/>
                <w:szCs w:val="24"/>
              </w:rPr>
              <w:t>约束</w:t>
            </w:r>
          </w:p>
          <w:p w14:paraId="7218A9EF">
            <w:pPr>
              <w:pStyle w:val="6"/>
              <w:spacing w:before="125" w:line="219" w:lineRule="auto"/>
              <w:ind w:left="214"/>
              <w:rPr>
                <w:sz w:val="24"/>
                <w:szCs w:val="24"/>
              </w:rPr>
            </w:pPr>
            <w:r>
              <w:rPr>
                <w:spacing w:val="5"/>
                <w:sz w:val="24"/>
                <w:szCs w:val="24"/>
              </w:rPr>
              <w:t>条件</w:t>
            </w:r>
          </w:p>
        </w:tc>
        <w:tc>
          <w:tcPr>
            <w:tcW w:w="2327" w:type="dxa"/>
            <w:vMerge w:val="restart"/>
            <w:tcBorders>
              <w:bottom w:val="nil"/>
            </w:tcBorders>
            <w:vAlign w:val="top"/>
          </w:tcPr>
          <w:p w14:paraId="162036DA">
            <w:pPr>
              <w:spacing w:line="265" w:lineRule="auto"/>
              <w:rPr>
                <w:rFonts w:ascii="Arial"/>
                <w:sz w:val="21"/>
              </w:rPr>
            </w:pPr>
          </w:p>
          <w:p w14:paraId="5BC59773">
            <w:pPr>
              <w:pStyle w:val="6"/>
              <w:spacing w:before="78" w:line="219" w:lineRule="auto"/>
              <w:ind w:left="850"/>
              <w:rPr>
                <w:sz w:val="24"/>
                <w:szCs w:val="24"/>
              </w:rPr>
            </w:pPr>
            <w:r>
              <w:rPr>
                <w:spacing w:val="-5"/>
                <w:sz w:val="24"/>
                <w:szCs w:val="24"/>
              </w:rPr>
              <w:t>梁</w:t>
            </w:r>
            <w:r>
              <w:rPr>
                <w:spacing w:val="49"/>
                <w:sz w:val="24"/>
                <w:szCs w:val="24"/>
              </w:rPr>
              <w:t xml:space="preserve"> </w:t>
            </w:r>
            <w:r>
              <w:rPr>
                <w:spacing w:val="-5"/>
                <w:sz w:val="24"/>
                <w:szCs w:val="24"/>
              </w:rPr>
              <w:t>宽</w:t>
            </w:r>
          </w:p>
        </w:tc>
        <w:tc>
          <w:tcPr>
            <w:tcW w:w="5348" w:type="dxa"/>
            <w:gridSpan w:val="4"/>
            <w:vAlign w:val="top"/>
          </w:tcPr>
          <w:p w14:paraId="628C9379">
            <w:pPr>
              <w:pStyle w:val="6"/>
              <w:spacing w:before="111" w:line="219" w:lineRule="auto"/>
              <w:ind w:left="1977"/>
              <w:rPr>
                <w:sz w:val="24"/>
                <w:szCs w:val="24"/>
              </w:rPr>
            </w:pPr>
            <w:r>
              <w:rPr>
                <w:b/>
                <w:bCs/>
                <w:spacing w:val="4"/>
                <w:sz w:val="24"/>
                <w:szCs w:val="24"/>
              </w:rPr>
              <w:t>耐火极限(h)</w:t>
            </w:r>
          </w:p>
        </w:tc>
      </w:tr>
      <w:tr w14:paraId="1E1BF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934" w:type="dxa"/>
            <w:vMerge w:val="continue"/>
            <w:tcBorders>
              <w:top w:val="nil"/>
            </w:tcBorders>
            <w:vAlign w:val="top"/>
          </w:tcPr>
          <w:p w14:paraId="65BDAE2F">
            <w:pPr>
              <w:rPr>
                <w:rFonts w:ascii="Arial"/>
                <w:sz w:val="21"/>
              </w:rPr>
            </w:pPr>
          </w:p>
        </w:tc>
        <w:tc>
          <w:tcPr>
            <w:tcW w:w="2327" w:type="dxa"/>
            <w:vMerge w:val="continue"/>
            <w:tcBorders>
              <w:top w:val="nil"/>
            </w:tcBorders>
            <w:vAlign w:val="top"/>
          </w:tcPr>
          <w:p w14:paraId="085E2201">
            <w:pPr>
              <w:rPr>
                <w:rFonts w:ascii="Arial"/>
                <w:sz w:val="21"/>
              </w:rPr>
            </w:pPr>
          </w:p>
        </w:tc>
        <w:tc>
          <w:tcPr>
            <w:tcW w:w="1398" w:type="dxa"/>
            <w:vAlign w:val="top"/>
          </w:tcPr>
          <w:p w14:paraId="22CBE789">
            <w:pPr>
              <w:pStyle w:val="6"/>
              <w:spacing w:before="136" w:line="232" w:lineRule="auto"/>
              <w:ind w:left="633"/>
              <w:rPr>
                <w:sz w:val="24"/>
                <w:szCs w:val="24"/>
              </w:rPr>
            </w:pPr>
            <w:r>
              <w:rPr>
                <w:sz w:val="24"/>
                <w:szCs w:val="24"/>
              </w:rPr>
              <w:t>1</w:t>
            </w:r>
          </w:p>
        </w:tc>
        <w:tc>
          <w:tcPr>
            <w:tcW w:w="1398" w:type="dxa"/>
            <w:vAlign w:val="top"/>
          </w:tcPr>
          <w:p w14:paraId="66BD4FC2">
            <w:pPr>
              <w:pStyle w:val="6"/>
              <w:spacing w:before="133" w:line="234" w:lineRule="auto"/>
              <w:ind w:left="519"/>
              <w:rPr>
                <w:sz w:val="24"/>
                <w:szCs w:val="24"/>
              </w:rPr>
            </w:pPr>
            <w:r>
              <w:rPr>
                <w:b/>
                <w:bCs/>
                <w:spacing w:val="-9"/>
                <w:sz w:val="24"/>
                <w:szCs w:val="24"/>
              </w:rPr>
              <w:t>1.5</w:t>
            </w:r>
          </w:p>
        </w:tc>
        <w:tc>
          <w:tcPr>
            <w:tcW w:w="1408" w:type="dxa"/>
            <w:vAlign w:val="top"/>
          </w:tcPr>
          <w:p w14:paraId="0B205D5D">
            <w:pPr>
              <w:pStyle w:val="6"/>
              <w:spacing w:before="136" w:line="232" w:lineRule="auto"/>
              <w:ind w:left="637"/>
              <w:rPr>
                <w:sz w:val="24"/>
                <w:szCs w:val="24"/>
              </w:rPr>
            </w:pPr>
            <w:r>
              <w:rPr>
                <w:sz w:val="24"/>
                <w:szCs w:val="24"/>
              </w:rPr>
              <w:t>2</w:t>
            </w:r>
          </w:p>
        </w:tc>
        <w:tc>
          <w:tcPr>
            <w:tcW w:w="1144" w:type="dxa"/>
            <w:vAlign w:val="top"/>
          </w:tcPr>
          <w:p w14:paraId="76D7575B">
            <w:pPr>
              <w:pStyle w:val="6"/>
              <w:spacing w:before="136" w:line="232" w:lineRule="auto"/>
              <w:ind w:left="509"/>
              <w:rPr>
                <w:sz w:val="24"/>
                <w:szCs w:val="24"/>
              </w:rPr>
            </w:pPr>
            <w:r>
              <w:rPr>
                <w:sz w:val="24"/>
                <w:szCs w:val="24"/>
              </w:rPr>
              <w:t>3</w:t>
            </w:r>
          </w:p>
        </w:tc>
      </w:tr>
      <w:tr w14:paraId="7CC70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34" w:type="dxa"/>
            <w:vMerge w:val="restart"/>
            <w:tcBorders>
              <w:bottom w:val="nil"/>
            </w:tcBorders>
            <w:vAlign w:val="top"/>
          </w:tcPr>
          <w:p w14:paraId="2A8E782E">
            <w:pPr>
              <w:spacing w:line="272" w:lineRule="auto"/>
              <w:rPr>
                <w:rFonts w:ascii="Arial"/>
                <w:sz w:val="21"/>
              </w:rPr>
            </w:pPr>
          </w:p>
          <w:p w14:paraId="0C70FF18">
            <w:pPr>
              <w:pStyle w:val="6"/>
              <w:spacing w:before="78" w:line="219" w:lineRule="auto"/>
              <w:ind w:left="214"/>
              <w:rPr>
                <w:sz w:val="24"/>
                <w:szCs w:val="24"/>
              </w:rPr>
            </w:pPr>
            <w:r>
              <w:rPr>
                <w:spacing w:val="6"/>
                <w:sz w:val="24"/>
                <w:szCs w:val="24"/>
              </w:rPr>
              <w:t>简支</w:t>
            </w:r>
          </w:p>
        </w:tc>
        <w:tc>
          <w:tcPr>
            <w:tcW w:w="2327" w:type="dxa"/>
            <w:vAlign w:val="top"/>
          </w:tcPr>
          <w:p w14:paraId="1A601EC1">
            <w:pPr>
              <w:pStyle w:val="6"/>
              <w:spacing w:before="135" w:line="236" w:lineRule="auto"/>
              <w:ind w:left="550"/>
              <w:rPr>
                <w:sz w:val="24"/>
                <w:szCs w:val="24"/>
              </w:rPr>
            </w:pPr>
            <w:r>
              <w:rPr>
                <w:spacing w:val="-2"/>
                <w:sz w:val="24"/>
                <w:szCs w:val="24"/>
              </w:rPr>
              <w:t>200≤b&lt;300</w:t>
            </w:r>
          </w:p>
        </w:tc>
        <w:tc>
          <w:tcPr>
            <w:tcW w:w="1398" w:type="dxa"/>
            <w:vAlign w:val="top"/>
          </w:tcPr>
          <w:p w14:paraId="17D6687A">
            <w:pPr>
              <w:pStyle w:val="6"/>
              <w:spacing w:before="135"/>
              <w:ind w:left="577"/>
              <w:rPr>
                <w:sz w:val="24"/>
                <w:szCs w:val="24"/>
              </w:rPr>
            </w:pPr>
            <w:r>
              <w:rPr>
                <w:b/>
                <w:bCs/>
                <w:spacing w:val="-5"/>
                <w:sz w:val="24"/>
                <w:szCs w:val="24"/>
              </w:rPr>
              <w:t>45</w:t>
            </w:r>
          </w:p>
        </w:tc>
        <w:tc>
          <w:tcPr>
            <w:tcW w:w="1398" w:type="dxa"/>
            <w:vAlign w:val="top"/>
          </w:tcPr>
          <w:p w14:paraId="2231CA51">
            <w:pPr>
              <w:pStyle w:val="6"/>
              <w:spacing w:before="135"/>
              <w:ind w:left="579"/>
              <w:rPr>
                <w:sz w:val="24"/>
                <w:szCs w:val="24"/>
              </w:rPr>
            </w:pPr>
            <w:r>
              <w:rPr>
                <w:b/>
                <w:bCs/>
                <w:spacing w:val="-7"/>
                <w:sz w:val="24"/>
                <w:szCs w:val="24"/>
              </w:rPr>
              <w:t>50</w:t>
            </w:r>
          </w:p>
        </w:tc>
        <w:tc>
          <w:tcPr>
            <w:tcW w:w="1408" w:type="dxa"/>
            <w:vAlign w:val="top"/>
          </w:tcPr>
          <w:p w14:paraId="2CF2B1E1">
            <w:pPr>
              <w:pStyle w:val="6"/>
              <w:spacing w:before="137" w:line="239" w:lineRule="auto"/>
              <w:ind w:left="577"/>
              <w:rPr>
                <w:sz w:val="24"/>
                <w:szCs w:val="24"/>
              </w:rPr>
            </w:pPr>
            <w:r>
              <w:rPr>
                <w:spacing w:val="-3"/>
                <w:sz w:val="24"/>
                <w:szCs w:val="24"/>
              </w:rPr>
              <w:t>65</w:t>
            </w:r>
          </w:p>
        </w:tc>
        <w:tc>
          <w:tcPr>
            <w:tcW w:w="1144" w:type="dxa"/>
            <w:vAlign w:val="top"/>
          </w:tcPr>
          <w:p w14:paraId="52C894BA">
            <w:pPr>
              <w:pStyle w:val="6"/>
              <w:spacing w:before="227" w:line="186" w:lineRule="exact"/>
              <w:ind w:left="449"/>
              <w:rPr>
                <w:sz w:val="24"/>
                <w:szCs w:val="24"/>
              </w:rPr>
            </w:pPr>
            <w:r>
              <w:rPr>
                <w:position w:val="-5"/>
                <w:sz w:val="24"/>
                <w:szCs w:val="24"/>
              </w:rPr>
              <w:t>一</w:t>
            </w:r>
          </w:p>
        </w:tc>
      </w:tr>
      <w:tr w14:paraId="70453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34" w:type="dxa"/>
            <w:vMerge w:val="continue"/>
            <w:tcBorders>
              <w:top w:val="nil"/>
            </w:tcBorders>
            <w:vAlign w:val="top"/>
          </w:tcPr>
          <w:p w14:paraId="7B4907D2">
            <w:pPr>
              <w:rPr>
                <w:rFonts w:ascii="Arial"/>
                <w:sz w:val="21"/>
              </w:rPr>
            </w:pPr>
          </w:p>
        </w:tc>
        <w:tc>
          <w:tcPr>
            <w:tcW w:w="2327" w:type="dxa"/>
            <w:vAlign w:val="top"/>
          </w:tcPr>
          <w:p w14:paraId="105E5125">
            <w:pPr>
              <w:pStyle w:val="6"/>
              <w:spacing w:before="139" w:line="237" w:lineRule="auto"/>
              <w:ind w:left="790"/>
              <w:rPr>
                <w:sz w:val="24"/>
                <w:szCs w:val="24"/>
              </w:rPr>
            </w:pPr>
            <w:r>
              <w:rPr>
                <w:spacing w:val="-1"/>
                <w:sz w:val="24"/>
                <w:szCs w:val="24"/>
              </w:rPr>
              <w:t>b≥300</w:t>
            </w:r>
          </w:p>
        </w:tc>
        <w:tc>
          <w:tcPr>
            <w:tcW w:w="1398" w:type="dxa"/>
            <w:vAlign w:val="top"/>
          </w:tcPr>
          <w:p w14:paraId="78714D70">
            <w:pPr>
              <w:pStyle w:val="6"/>
              <w:spacing w:before="139" w:line="237" w:lineRule="auto"/>
              <w:ind w:left="574"/>
              <w:rPr>
                <w:sz w:val="24"/>
                <w:szCs w:val="24"/>
              </w:rPr>
            </w:pPr>
            <w:r>
              <w:rPr>
                <w:spacing w:val="-3"/>
                <w:sz w:val="24"/>
                <w:szCs w:val="24"/>
              </w:rPr>
              <w:t>40</w:t>
            </w:r>
          </w:p>
        </w:tc>
        <w:tc>
          <w:tcPr>
            <w:tcW w:w="1398" w:type="dxa"/>
            <w:vAlign w:val="top"/>
          </w:tcPr>
          <w:p w14:paraId="3706176D">
            <w:pPr>
              <w:pStyle w:val="6"/>
              <w:spacing w:before="138" w:line="238" w:lineRule="auto"/>
              <w:ind w:left="579"/>
              <w:rPr>
                <w:sz w:val="24"/>
                <w:szCs w:val="24"/>
              </w:rPr>
            </w:pPr>
            <w:r>
              <w:rPr>
                <w:b/>
                <w:bCs/>
                <w:spacing w:val="-5"/>
                <w:sz w:val="24"/>
                <w:szCs w:val="24"/>
              </w:rPr>
              <w:t>45</w:t>
            </w:r>
          </w:p>
        </w:tc>
        <w:tc>
          <w:tcPr>
            <w:tcW w:w="1408" w:type="dxa"/>
            <w:vAlign w:val="top"/>
          </w:tcPr>
          <w:p w14:paraId="51A5C67C">
            <w:pPr>
              <w:pStyle w:val="6"/>
              <w:spacing w:before="139" w:line="237" w:lineRule="auto"/>
              <w:ind w:left="577"/>
              <w:rPr>
                <w:sz w:val="24"/>
                <w:szCs w:val="24"/>
              </w:rPr>
            </w:pPr>
            <w:r>
              <w:rPr>
                <w:spacing w:val="-4"/>
                <w:sz w:val="24"/>
                <w:szCs w:val="24"/>
              </w:rPr>
              <w:t>50</w:t>
            </w:r>
          </w:p>
        </w:tc>
        <w:tc>
          <w:tcPr>
            <w:tcW w:w="1144" w:type="dxa"/>
            <w:vAlign w:val="top"/>
          </w:tcPr>
          <w:p w14:paraId="66785DE8">
            <w:pPr>
              <w:pStyle w:val="6"/>
              <w:spacing w:before="139" w:line="237" w:lineRule="auto"/>
              <w:ind w:left="449"/>
              <w:rPr>
                <w:sz w:val="24"/>
                <w:szCs w:val="24"/>
              </w:rPr>
            </w:pPr>
            <w:r>
              <w:rPr>
                <w:spacing w:val="-3"/>
                <w:sz w:val="24"/>
                <w:szCs w:val="24"/>
              </w:rPr>
              <w:t>65</w:t>
            </w:r>
          </w:p>
        </w:tc>
      </w:tr>
      <w:tr w14:paraId="24EEB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934" w:type="dxa"/>
            <w:vMerge w:val="restart"/>
            <w:tcBorders>
              <w:bottom w:val="nil"/>
            </w:tcBorders>
            <w:vAlign w:val="top"/>
          </w:tcPr>
          <w:p w14:paraId="46EA411C">
            <w:pPr>
              <w:spacing w:line="269" w:lineRule="auto"/>
              <w:rPr>
                <w:rFonts w:ascii="Arial"/>
                <w:sz w:val="21"/>
              </w:rPr>
            </w:pPr>
          </w:p>
          <w:p w14:paraId="6E71F986">
            <w:pPr>
              <w:pStyle w:val="6"/>
              <w:spacing w:before="78" w:line="220" w:lineRule="auto"/>
              <w:ind w:left="214"/>
              <w:rPr>
                <w:sz w:val="24"/>
                <w:szCs w:val="24"/>
              </w:rPr>
            </w:pPr>
            <w:r>
              <w:rPr>
                <w:spacing w:val="6"/>
                <w:sz w:val="24"/>
                <w:szCs w:val="24"/>
              </w:rPr>
              <w:t>连续</w:t>
            </w:r>
          </w:p>
        </w:tc>
        <w:tc>
          <w:tcPr>
            <w:tcW w:w="2327" w:type="dxa"/>
            <w:vAlign w:val="top"/>
          </w:tcPr>
          <w:p w14:paraId="73C25C14">
            <w:pPr>
              <w:pStyle w:val="6"/>
              <w:spacing w:before="138" w:line="231" w:lineRule="auto"/>
              <w:ind w:left="550"/>
              <w:rPr>
                <w:sz w:val="24"/>
                <w:szCs w:val="24"/>
              </w:rPr>
            </w:pPr>
            <w:r>
              <w:rPr>
                <w:spacing w:val="-2"/>
                <w:sz w:val="24"/>
                <w:szCs w:val="24"/>
              </w:rPr>
              <w:t>200≤b&lt;300</w:t>
            </w:r>
          </w:p>
        </w:tc>
        <w:tc>
          <w:tcPr>
            <w:tcW w:w="1398" w:type="dxa"/>
            <w:vAlign w:val="top"/>
          </w:tcPr>
          <w:p w14:paraId="6E6A8D6D">
            <w:pPr>
              <w:pStyle w:val="6"/>
              <w:spacing w:before="141" w:line="229" w:lineRule="auto"/>
              <w:ind w:left="574"/>
              <w:rPr>
                <w:sz w:val="24"/>
                <w:szCs w:val="24"/>
              </w:rPr>
            </w:pPr>
            <w:r>
              <w:rPr>
                <w:spacing w:val="-3"/>
                <w:sz w:val="24"/>
                <w:szCs w:val="24"/>
              </w:rPr>
              <w:t>40</w:t>
            </w:r>
          </w:p>
        </w:tc>
        <w:tc>
          <w:tcPr>
            <w:tcW w:w="1398" w:type="dxa"/>
            <w:vAlign w:val="top"/>
          </w:tcPr>
          <w:p w14:paraId="1D11B3F4">
            <w:pPr>
              <w:pStyle w:val="6"/>
              <w:spacing w:before="141" w:line="229" w:lineRule="auto"/>
              <w:ind w:left="575"/>
              <w:rPr>
                <w:sz w:val="24"/>
                <w:szCs w:val="24"/>
              </w:rPr>
            </w:pPr>
            <w:r>
              <w:rPr>
                <w:spacing w:val="-3"/>
                <w:sz w:val="24"/>
                <w:szCs w:val="24"/>
              </w:rPr>
              <w:t>40</w:t>
            </w:r>
          </w:p>
        </w:tc>
        <w:tc>
          <w:tcPr>
            <w:tcW w:w="1408" w:type="dxa"/>
            <w:vAlign w:val="top"/>
          </w:tcPr>
          <w:p w14:paraId="0C002D59">
            <w:pPr>
              <w:pStyle w:val="6"/>
              <w:spacing w:before="141" w:line="229" w:lineRule="auto"/>
              <w:ind w:left="577"/>
              <w:rPr>
                <w:sz w:val="24"/>
                <w:szCs w:val="24"/>
              </w:rPr>
            </w:pPr>
            <w:r>
              <w:rPr>
                <w:spacing w:val="-3"/>
                <w:sz w:val="24"/>
                <w:szCs w:val="24"/>
              </w:rPr>
              <w:t>45</w:t>
            </w:r>
          </w:p>
        </w:tc>
        <w:tc>
          <w:tcPr>
            <w:tcW w:w="1144" w:type="dxa"/>
            <w:vAlign w:val="top"/>
          </w:tcPr>
          <w:p w14:paraId="3D9E61A9">
            <w:pPr>
              <w:pStyle w:val="6"/>
              <w:spacing w:before="141" w:line="229" w:lineRule="auto"/>
              <w:ind w:left="449"/>
              <w:rPr>
                <w:sz w:val="24"/>
                <w:szCs w:val="24"/>
              </w:rPr>
            </w:pPr>
            <w:r>
              <w:rPr>
                <w:spacing w:val="-4"/>
                <w:sz w:val="24"/>
                <w:szCs w:val="24"/>
              </w:rPr>
              <w:t>50</w:t>
            </w:r>
          </w:p>
        </w:tc>
      </w:tr>
      <w:tr w14:paraId="55B65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34" w:type="dxa"/>
            <w:vMerge w:val="continue"/>
            <w:tcBorders>
              <w:top w:val="nil"/>
            </w:tcBorders>
            <w:vAlign w:val="top"/>
          </w:tcPr>
          <w:p w14:paraId="781908E3">
            <w:pPr>
              <w:rPr>
                <w:rFonts w:ascii="Arial"/>
                <w:sz w:val="21"/>
              </w:rPr>
            </w:pPr>
          </w:p>
        </w:tc>
        <w:tc>
          <w:tcPr>
            <w:tcW w:w="2327" w:type="dxa"/>
            <w:vAlign w:val="top"/>
          </w:tcPr>
          <w:p w14:paraId="7C70BD18">
            <w:pPr>
              <w:pStyle w:val="6"/>
              <w:spacing w:before="142" w:line="232" w:lineRule="auto"/>
              <w:ind w:left="790"/>
              <w:rPr>
                <w:sz w:val="24"/>
                <w:szCs w:val="24"/>
              </w:rPr>
            </w:pPr>
            <w:r>
              <w:rPr>
                <w:spacing w:val="-1"/>
                <w:sz w:val="24"/>
                <w:szCs w:val="24"/>
              </w:rPr>
              <w:t>b≥300</w:t>
            </w:r>
          </w:p>
        </w:tc>
        <w:tc>
          <w:tcPr>
            <w:tcW w:w="1398" w:type="dxa"/>
            <w:vAlign w:val="top"/>
          </w:tcPr>
          <w:p w14:paraId="064A308D">
            <w:pPr>
              <w:pStyle w:val="6"/>
              <w:spacing w:before="142" w:line="232" w:lineRule="auto"/>
              <w:ind w:left="574"/>
              <w:rPr>
                <w:sz w:val="24"/>
                <w:szCs w:val="24"/>
              </w:rPr>
            </w:pPr>
            <w:r>
              <w:rPr>
                <w:spacing w:val="-3"/>
                <w:sz w:val="24"/>
                <w:szCs w:val="24"/>
              </w:rPr>
              <w:t>40</w:t>
            </w:r>
          </w:p>
        </w:tc>
        <w:tc>
          <w:tcPr>
            <w:tcW w:w="1398" w:type="dxa"/>
            <w:vAlign w:val="top"/>
          </w:tcPr>
          <w:p w14:paraId="0EF12ECF">
            <w:pPr>
              <w:pStyle w:val="6"/>
              <w:spacing w:before="142" w:line="232" w:lineRule="auto"/>
              <w:ind w:left="575"/>
              <w:rPr>
                <w:sz w:val="24"/>
                <w:szCs w:val="24"/>
              </w:rPr>
            </w:pPr>
            <w:r>
              <w:rPr>
                <w:spacing w:val="-3"/>
                <w:sz w:val="24"/>
                <w:szCs w:val="24"/>
              </w:rPr>
              <w:t>40</w:t>
            </w:r>
          </w:p>
        </w:tc>
        <w:tc>
          <w:tcPr>
            <w:tcW w:w="1408" w:type="dxa"/>
            <w:vAlign w:val="top"/>
          </w:tcPr>
          <w:p w14:paraId="0149E9B4">
            <w:pPr>
              <w:pStyle w:val="6"/>
              <w:spacing w:before="142" w:line="232" w:lineRule="auto"/>
              <w:ind w:left="577"/>
              <w:rPr>
                <w:sz w:val="24"/>
                <w:szCs w:val="24"/>
              </w:rPr>
            </w:pPr>
            <w:r>
              <w:rPr>
                <w:spacing w:val="-3"/>
                <w:sz w:val="24"/>
                <w:szCs w:val="24"/>
              </w:rPr>
              <w:t>40</w:t>
            </w:r>
          </w:p>
        </w:tc>
        <w:tc>
          <w:tcPr>
            <w:tcW w:w="1144" w:type="dxa"/>
            <w:vAlign w:val="top"/>
          </w:tcPr>
          <w:p w14:paraId="547FF7CC">
            <w:pPr>
              <w:pStyle w:val="6"/>
              <w:spacing w:before="142" w:line="232" w:lineRule="auto"/>
              <w:ind w:left="449"/>
              <w:rPr>
                <w:sz w:val="24"/>
                <w:szCs w:val="24"/>
              </w:rPr>
            </w:pPr>
            <w:r>
              <w:rPr>
                <w:spacing w:val="-3"/>
                <w:sz w:val="24"/>
                <w:szCs w:val="24"/>
              </w:rPr>
              <w:t>45</w:t>
            </w:r>
          </w:p>
        </w:tc>
      </w:tr>
    </w:tbl>
    <w:p w14:paraId="10DD5C9A">
      <w:pPr>
        <w:pStyle w:val="2"/>
      </w:pPr>
    </w:p>
    <w:p w14:paraId="2209978E">
      <w:pPr>
        <w:sectPr>
          <w:footerReference r:id="rId34" w:type="default"/>
          <w:pgSz w:w="11910" w:h="16840"/>
          <w:pgMar w:top="400" w:right="1550" w:bottom="836" w:left="1360" w:header="0" w:footer="524" w:gutter="0"/>
          <w:cols w:space="720" w:num="1"/>
        </w:sectPr>
      </w:pPr>
    </w:p>
    <w:p w14:paraId="6920E660">
      <w:pPr>
        <w:pStyle w:val="2"/>
        <w:spacing w:line="302" w:lineRule="auto"/>
      </w:pPr>
    </w:p>
    <w:p w14:paraId="3C803AF9">
      <w:pPr>
        <w:pStyle w:val="2"/>
        <w:spacing w:line="302" w:lineRule="auto"/>
      </w:pPr>
    </w:p>
    <w:p w14:paraId="0FD59E6D">
      <w:pPr>
        <w:pStyle w:val="2"/>
        <w:spacing w:line="302" w:lineRule="auto"/>
      </w:pPr>
    </w:p>
    <w:p w14:paraId="382D18CF">
      <w:pPr>
        <w:spacing w:before="78" w:line="339" w:lineRule="auto"/>
        <w:rPr>
          <w:rFonts w:ascii="宋体" w:hAnsi="宋体" w:eastAsia="宋体" w:cs="宋体"/>
          <w:sz w:val="24"/>
          <w:szCs w:val="24"/>
        </w:rPr>
      </w:pPr>
      <w:r>
        <w:rPr>
          <w:rFonts w:ascii="宋体" w:hAnsi="宋体" w:eastAsia="宋体" w:cs="宋体"/>
          <w:spacing w:val="-1"/>
          <w:sz w:val="24"/>
          <w:szCs w:val="24"/>
          <w:u w:val="single" w:color="auto"/>
        </w:rPr>
        <w:t>6.3.7无粘结预应力钢绞线张拉过程中应避免出现钢绞线滑脱或断</w:t>
      </w:r>
      <w:r>
        <w:rPr>
          <w:rFonts w:ascii="宋体" w:hAnsi="宋体" w:eastAsia="宋体" w:cs="宋体"/>
          <w:spacing w:val="-2"/>
          <w:sz w:val="24"/>
          <w:szCs w:val="24"/>
          <w:u w:val="single" w:color="auto"/>
        </w:rPr>
        <w:t>丝。发生滑脱时，滑</w:t>
      </w:r>
      <w:r>
        <w:rPr>
          <w:rFonts w:ascii="宋体" w:hAnsi="宋体" w:eastAsia="宋体" w:cs="宋体"/>
          <w:sz w:val="24"/>
          <w:szCs w:val="24"/>
        </w:rPr>
        <w:t xml:space="preserve">  </w:t>
      </w:r>
      <w:r>
        <w:rPr>
          <w:rFonts w:ascii="宋体" w:hAnsi="宋体" w:eastAsia="宋体" w:cs="宋体"/>
          <w:spacing w:val="3"/>
          <w:sz w:val="24"/>
          <w:szCs w:val="24"/>
          <w:u w:val="single" w:color="auto"/>
        </w:rPr>
        <w:t>脱的钢绞线数量不应超过构件同一截面钢绞线总根</w:t>
      </w:r>
      <w:r>
        <w:rPr>
          <w:rFonts w:ascii="宋体" w:hAnsi="宋体" w:eastAsia="宋体" w:cs="宋体"/>
          <w:spacing w:val="2"/>
          <w:sz w:val="24"/>
          <w:szCs w:val="24"/>
          <w:u w:val="single" w:color="auto"/>
        </w:rPr>
        <w:t>数的3%;发生断丝时，断丝的数量</w:t>
      </w:r>
      <w:r>
        <w:rPr>
          <w:rFonts w:ascii="宋体" w:hAnsi="宋体" w:eastAsia="宋体" w:cs="宋体"/>
          <w:sz w:val="24"/>
          <w:szCs w:val="24"/>
        </w:rPr>
        <w:t xml:space="preserve">  </w:t>
      </w:r>
      <w:r>
        <w:rPr>
          <w:rFonts w:ascii="宋体" w:hAnsi="宋体" w:eastAsia="宋体" w:cs="宋体"/>
          <w:spacing w:val="8"/>
          <w:sz w:val="24"/>
          <w:szCs w:val="24"/>
          <w:u w:val="single" w:color="auto"/>
        </w:rPr>
        <w:t>不应超过构件同一截面钢绞线钢丝总数的3%,且每根钢绞线断丝不得超过一丝；对多</w:t>
      </w:r>
      <w:r>
        <w:rPr>
          <w:rFonts w:ascii="宋体" w:hAnsi="宋体" w:eastAsia="宋体" w:cs="宋体"/>
          <w:spacing w:val="7"/>
          <w:sz w:val="24"/>
          <w:szCs w:val="24"/>
        </w:rPr>
        <w:t xml:space="preserve"> </w:t>
      </w:r>
      <w:r>
        <w:rPr>
          <w:rFonts w:ascii="宋体" w:hAnsi="宋体" w:eastAsia="宋体" w:cs="宋体"/>
          <w:spacing w:val="6"/>
          <w:sz w:val="24"/>
          <w:szCs w:val="24"/>
        </w:rPr>
        <w:t>跨双向连续板，其同一截面应按每跨计算。</w:t>
      </w:r>
    </w:p>
    <w:p w14:paraId="0C9C25B9">
      <w:pPr>
        <w:spacing w:before="46" w:line="219" w:lineRule="auto"/>
        <w:outlineLvl w:val="1"/>
        <w:rPr>
          <w:rFonts w:ascii="宋体" w:hAnsi="宋体" w:eastAsia="宋体" w:cs="宋体"/>
          <w:sz w:val="28"/>
          <w:szCs w:val="28"/>
        </w:rPr>
      </w:pPr>
      <w:bookmarkStart w:id="43" w:name="bookmark90"/>
      <w:bookmarkEnd w:id="43"/>
      <w:r>
        <w:rPr>
          <w:rFonts w:ascii="Times New Roman" w:hAnsi="Times New Roman" w:eastAsia="Times New Roman" w:cs="Times New Roman"/>
          <w:spacing w:val="1"/>
          <w:sz w:val="28"/>
          <w:szCs w:val="28"/>
        </w:rPr>
        <w:t>26.</w:t>
      </w:r>
      <w:r>
        <w:rPr>
          <w:rFonts w:ascii="Times New Roman" w:hAnsi="Times New Roman" w:eastAsia="Times New Roman" w:cs="Times New Roman"/>
          <w:sz w:val="28"/>
          <w:szCs w:val="28"/>
        </w:rPr>
        <w:t>JGJ</w:t>
      </w:r>
      <w:r>
        <w:rPr>
          <w:rFonts w:ascii="Times New Roman" w:hAnsi="Times New Roman" w:eastAsia="Times New Roman" w:cs="Times New Roman"/>
          <w:spacing w:val="1"/>
          <w:sz w:val="28"/>
          <w:szCs w:val="28"/>
        </w:rPr>
        <w:t>96-2011</w:t>
      </w:r>
      <w:r>
        <w:rPr>
          <w:rFonts w:ascii="Times New Roman" w:hAnsi="Times New Roman" w:eastAsia="Times New Roman" w:cs="Times New Roman"/>
          <w:spacing w:val="32"/>
          <w:sz w:val="28"/>
          <w:szCs w:val="28"/>
        </w:rPr>
        <w:t xml:space="preserve">  </w:t>
      </w:r>
      <w:r>
        <w:rPr>
          <w:rFonts w:ascii="宋体" w:hAnsi="宋体" w:eastAsia="宋体" w:cs="宋体"/>
          <w:spacing w:val="1"/>
          <w:sz w:val="28"/>
          <w:szCs w:val="28"/>
        </w:rPr>
        <w:t>钢框胶合板模板技术规程</w:t>
      </w:r>
    </w:p>
    <w:p w14:paraId="4818E015">
      <w:pPr>
        <w:spacing w:before="296" w:line="219" w:lineRule="auto"/>
        <w:rPr>
          <w:rFonts w:ascii="宋体" w:hAnsi="宋体" w:eastAsia="宋体" w:cs="宋体"/>
          <w:sz w:val="24"/>
          <w:szCs w:val="24"/>
        </w:rPr>
      </w:pPr>
      <w:r>
        <w:rPr>
          <w:rFonts w:ascii="宋体" w:hAnsi="宋体" w:eastAsia="宋体" w:cs="宋体"/>
          <w:spacing w:val="-4"/>
          <w:sz w:val="24"/>
          <w:szCs w:val="24"/>
        </w:rPr>
        <w:t>3.3.1</w:t>
      </w:r>
      <w:r>
        <w:rPr>
          <w:rFonts w:ascii="宋体" w:hAnsi="宋体" w:eastAsia="宋体" w:cs="宋体"/>
          <w:spacing w:val="119"/>
          <w:sz w:val="24"/>
          <w:szCs w:val="24"/>
        </w:rPr>
        <w:t xml:space="preserve"> </w:t>
      </w:r>
      <w:r>
        <w:rPr>
          <w:rFonts w:ascii="宋体" w:hAnsi="宋体" w:eastAsia="宋体" w:cs="宋体"/>
          <w:spacing w:val="-4"/>
          <w:sz w:val="24"/>
          <w:szCs w:val="24"/>
        </w:rPr>
        <w:t>吊环应采用</w:t>
      </w:r>
      <w:r>
        <w:rPr>
          <w:rFonts w:ascii="Times New Roman" w:hAnsi="Times New Roman" w:eastAsia="Times New Roman" w:cs="Times New Roman"/>
          <w:spacing w:val="-4"/>
          <w:sz w:val="24"/>
          <w:szCs w:val="24"/>
        </w:rPr>
        <w:t>HPB235</w:t>
      </w:r>
      <w:r>
        <w:rPr>
          <w:rFonts w:ascii="Times New Roman" w:hAnsi="Times New Roman" w:eastAsia="Times New Roman" w:cs="Times New Roman"/>
          <w:spacing w:val="37"/>
          <w:w w:val="101"/>
          <w:sz w:val="24"/>
          <w:szCs w:val="24"/>
        </w:rPr>
        <w:t xml:space="preserve"> </w:t>
      </w:r>
      <w:r>
        <w:rPr>
          <w:rFonts w:ascii="宋体" w:hAnsi="宋体" w:eastAsia="宋体" w:cs="宋体"/>
          <w:spacing w:val="-4"/>
          <w:sz w:val="24"/>
          <w:szCs w:val="24"/>
        </w:rPr>
        <w:t>钢筋制作，严禁使用冷加工钢筋。</w:t>
      </w:r>
    </w:p>
    <w:p w14:paraId="3AC4B0C1">
      <w:pPr>
        <w:spacing w:before="155" w:line="219" w:lineRule="auto"/>
        <w:rPr>
          <w:rFonts w:ascii="宋体" w:hAnsi="宋体" w:eastAsia="宋体" w:cs="宋体"/>
          <w:sz w:val="24"/>
          <w:szCs w:val="24"/>
        </w:rPr>
      </w:pPr>
      <w:r>
        <w:rPr>
          <w:rFonts w:ascii="Times New Roman" w:hAnsi="Times New Roman" w:eastAsia="Times New Roman" w:cs="Times New Roman"/>
          <w:spacing w:val="-1"/>
          <w:sz w:val="24"/>
          <w:szCs w:val="24"/>
        </w:rPr>
        <w:t>4.1.2</w:t>
      </w:r>
      <w:r>
        <w:rPr>
          <w:rFonts w:ascii="Times New Roman" w:hAnsi="Times New Roman" w:eastAsia="Times New Roman" w:cs="Times New Roman"/>
          <w:spacing w:val="19"/>
          <w:sz w:val="24"/>
          <w:szCs w:val="24"/>
        </w:rPr>
        <w:t xml:space="preserve">   </w:t>
      </w:r>
      <w:r>
        <w:rPr>
          <w:rFonts w:ascii="宋体" w:hAnsi="宋体" w:eastAsia="宋体" w:cs="宋体"/>
          <w:spacing w:val="-1"/>
          <w:sz w:val="24"/>
          <w:szCs w:val="24"/>
        </w:rPr>
        <w:t>模板及支撑应具有足够的承载能力、刚度和稳定性。</w:t>
      </w:r>
    </w:p>
    <w:p w14:paraId="3C0C7E49">
      <w:pPr>
        <w:spacing w:before="155" w:line="219" w:lineRule="auto"/>
        <w:rPr>
          <w:rFonts w:ascii="宋体" w:hAnsi="宋体" w:eastAsia="宋体" w:cs="宋体"/>
          <w:sz w:val="24"/>
          <w:szCs w:val="24"/>
        </w:rPr>
      </w:pPr>
      <w:r>
        <w:rPr>
          <w:rFonts w:ascii="宋体" w:hAnsi="宋体" w:eastAsia="宋体" w:cs="宋体"/>
          <w:spacing w:val="-3"/>
          <w:sz w:val="24"/>
          <w:szCs w:val="24"/>
        </w:rPr>
        <w:t>6.4.7  在起吊模板前，应拆除模板与</w:t>
      </w:r>
      <w:r>
        <w:rPr>
          <w:rFonts w:ascii="宋体" w:hAnsi="宋体" w:eastAsia="宋体" w:cs="宋体"/>
          <w:spacing w:val="-4"/>
          <w:sz w:val="24"/>
          <w:szCs w:val="24"/>
        </w:rPr>
        <w:t>混凝土结构之间所有对拉螺栓、连接件。</w:t>
      </w:r>
    </w:p>
    <w:p w14:paraId="113A199B">
      <w:pPr>
        <w:spacing w:before="207" w:line="219" w:lineRule="auto"/>
        <w:outlineLvl w:val="1"/>
        <w:rPr>
          <w:rFonts w:ascii="宋体" w:hAnsi="宋体" w:eastAsia="宋体" w:cs="宋体"/>
          <w:sz w:val="28"/>
          <w:szCs w:val="28"/>
        </w:rPr>
      </w:pPr>
      <w:bookmarkStart w:id="44" w:name="bookmark91"/>
      <w:bookmarkEnd w:id="44"/>
      <w:r>
        <w:rPr>
          <w:rFonts w:ascii="Times New Roman" w:hAnsi="Times New Roman" w:eastAsia="Times New Roman" w:cs="Times New Roman"/>
          <w:spacing w:val="2"/>
          <w:sz w:val="28"/>
          <w:szCs w:val="28"/>
        </w:rPr>
        <w:t>27.</w:t>
      </w:r>
      <w:r>
        <w:rPr>
          <w:rFonts w:ascii="Times New Roman" w:hAnsi="Times New Roman" w:eastAsia="Times New Roman" w:cs="Times New Roman"/>
          <w:sz w:val="28"/>
          <w:szCs w:val="28"/>
        </w:rPr>
        <w:t>JGJ</w:t>
      </w:r>
      <w:r>
        <w:rPr>
          <w:rFonts w:ascii="Times New Roman" w:hAnsi="Times New Roman" w:eastAsia="Times New Roman" w:cs="Times New Roman"/>
          <w:spacing w:val="2"/>
          <w:sz w:val="28"/>
          <w:szCs w:val="28"/>
        </w:rPr>
        <w:t xml:space="preserve">107-2016   </w:t>
      </w:r>
      <w:r>
        <w:rPr>
          <w:rFonts w:ascii="宋体" w:hAnsi="宋体" w:eastAsia="宋体" w:cs="宋体"/>
          <w:spacing w:val="2"/>
          <w:sz w:val="28"/>
          <w:szCs w:val="28"/>
        </w:rPr>
        <w:t>钢筋机械连接技术规程【</w:t>
      </w:r>
      <w:r>
        <w:rPr>
          <w:rFonts w:ascii="宋体" w:hAnsi="宋体" w:eastAsia="宋体" w:cs="宋体"/>
          <w:spacing w:val="1"/>
          <w:sz w:val="28"/>
          <w:szCs w:val="28"/>
        </w:rPr>
        <w:t>强条已废】</w:t>
      </w:r>
    </w:p>
    <w:p w14:paraId="339F1605">
      <w:pPr>
        <w:spacing w:before="298" w:line="219" w:lineRule="auto"/>
        <w:rPr>
          <w:rFonts w:ascii="宋体" w:hAnsi="宋体" w:eastAsia="宋体" w:cs="宋体"/>
          <w:sz w:val="24"/>
          <w:szCs w:val="24"/>
        </w:rPr>
      </w:pPr>
      <w:r>
        <w:rPr>
          <w:rFonts w:ascii="宋体" w:hAnsi="宋体" w:eastAsia="宋体" w:cs="宋体"/>
          <w:spacing w:val="-3"/>
          <w:sz w:val="24"/>
          <w:szCs w:val="24"/>
        </w:rPr>
        <w:t>以下条目已</w:t>
      </w:r>
      <w:r>
        <w:rPr>
          <w:rFonts w:ascii="宋体" w:hAnsi="宋体" w:eastAsia="宋体" w:cs="宋体"/>
          <w:color w:val="3070C0"/>
          <w:spacing w:val="-3"/>
          <w:sz w:val="24"/>
          <w:szCs w:val="24"/>
          <w:u w:val="single" w:color="auto"/>
        </w:rPr>
        <w:t>被《混凝土结构通用规范》</w:t>
      </w:r>
      <w:r>
        <w:rPr>
          <w:rFonts w:ascii="Times New Roman" w:hAnsi="Times New Roman" w:eastAsia="Times New Roman" w:cs="Times New Roman"/>
          <w:color w:val="3070C0"/>
          <w:spacing w:val="-3"/>
          <w:sz w:val="24"/>
          <w:szCs w:val="24"/>
          <w:u w:val="single" w:color="auto"/>
        </w:rPr>
        <w:t>GB55008-2021</w:t>
      </w:r>
      <w:r>
        <w:rPr>
          <w:rFonts w:ascii="Times New Roman" w:hAnsi="Times New Roman" w:eastAsia="Times New Roman" w:cs="Times New Roman"/>
          <w:color w:val="3070C0"/>
          <w:spacing w:val="29"/>
          <w:sz w:val="24"/>
          <w:szCs w:val="24"/>
        </w:rPr>
        <w:t xml:space="preserve">  </w:t>
      </w:r>
      <w:r>
        <w:rPr>
          <w:rFonts w:ascii="宋体" w:hAnsi="宋体" w:eastAsia="宋体" w:cs="宋体"/>
          <w:spacing w:val="-3"/>
          <w:sz w:val="24"/>
          <w:szCs w:val="24"/>
        </w:rPr>
        <w:t>替代</w:t>
      </w:r>
    </w:p>
    <w:p w14:paraId="45A337F0">
      <w:pPr>
        <w:spacing w:before="116" w:line="219" w:lineRule="auto"/>
        <w:rPr>
          <w:rFonts w:ascii="宋体" w:hAnsi="宋体" w:eastAsia="宋体" w:cs="宋体"/>
          <w:sz w:val="26"/>
          <w:szCs w:val="26"/>
        </w:rPr>
      </w:pPr>
      <w:r>
        <w:rPr>
          <w:rFonts w:ascii="宋体" w:hAnsi="宋体" w:eastAsia="宋体" w:cs="宋体"/>
          <w:spacing w:val="-12"/>
          <w:sz w:val="26"/>
          <w:szCs w:val="26"/>
        </w:rPr>
        <w:t>3.0.5—</w:t>
      </w:r>
      <w:r>
        <w:rPr>
          <w:rFonts w:ascii="Times New Roman" w:hAnsi="Times New Roman" w:eastAsia="Times New Roman" w:cs="Times New Roman"/>
          <w:spacing w:val="-12"/>
          <w:sz w:val="26"/>
          <w:szCs w:val="26"/>
        </w:rPr>
        <w:t xml:space="preserve">I </w:t>
      </w:r>
      <w:r>
        <w:rPr>
          <w:rFonts w:ascii="宋体" w:hAnsi="宋体" w:eastAsia="宋体" w:cs="宋体"/>
          <w:spacing w:val="-12"/>
          <w:sz w:val="26"/>
          <w:szCs w:val="26"/>
        </w:rPr>
        <w:t>级、Ⅱ级、Ⅲ级接头的极限抗拉强度必须符合表3.</w:t>
      </w:r>
      <w:r>
        <w:rPr>
          <w:rFonts w:ascii="宋体" w:hAnsi="宋体" w:eastAsia="宋体" w:cs="宋体"/>
          <w:spacing w:val="-13"/>
          <w:sz w:val="26"/>
          <w:szCs w:val="26"/>
        </w:rPr>
        <w:t>0.5的规定。</w:t>
      </w:r>
    </w:p>
    <w:p w14:paraId="3ED69835">
      <w:pPr>
        <w:spacing w:before="179" w:line="221" w:lineRule="auto"/>
        <w:ind w:left="2899"/>
        <w:rPr>
          <w:rFonts w:ascii="黑体" w:hAnsi="黑体" w:eastAsia="黑体" w:cs="黑体"/>
          <w:sz w:val="26"/>
          <w:szCs w:val="26"/>
        </w:rPr>
      </w:pPr>
      <w:r>
        <w:rPr>
          <w:rFonts w:ascii="黑体" w:hAnsi="黑体" w:eastAsia="黑体" w:cs="黑体"/>
          <w:spacing w:val="4"/>
          <w:sz w:val="26"/>
          <w:szCs w:val="26"/>
        </w:rPr>
        <w:t>表3.0.5</w:t>
      </w:r>
      <w:r>
        <w:rPr>
          <w:rFonts w:ascii="黑体" w:hAnsi="黑体" w:eastAsia="黑体" w:cs="黑体"/>
          <w:spacing w:val="42"/>
          <w:sz w:val="26"/>
          <w:szCs w:val="26"/>
        </w:rPr>
        <w:t xml:space="preserve">  </w:t>
      </w:r>
      <w:r>
        <w:rPr>
          <w:rFonts w:ascii="黑体" w:hAnsi="黑体" w:eastAsia="黑体" w:cs="黑体"/>
          <w:spacing w:val="4"/>
          <w:sz w:val="26"/>
          <w:szCs w:val="26"/>
        </w:rPr>
        <w:t>接头极限抗拉强度</w:t>
      </w:r>
    </w:p>
    <w:p w14:paraId="12EF9F22">
      <w:pPr>
        <w:spacing w:line="95" w:lineRule="exact"/>
      </w:pPr>
    </w:p>
    <w:tbl>
      <w:tblPr>
        <w:tblStyle w:val="5"/>
        <w:tblW w:w="8569" w:type="dxa"/>
        <w:tblInd w:w="3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3"/>
        <w:gridCol w:w="3585"/>
        <w:gridCol w:w="1618"/>
        <w:gridCol w:w="1743"/>
      </w:tblGrid>
      <w:tr w14:paraId="6CFFB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trPr>
        <w:tc>
          <w:tcPr>
            <w:tcW w:w="1623" w:type="dxa"/>
            <w:vAlign w:val="top"/>
          </w:tcPr>
          <w:p w14:paraId="777C0773">
            <w:pPr>
              <w:pStyle w:val="6"/>
              <w:spacing w:before="111" w:line="219" w:lineRule="auto"/>
              <w:ind w:left="348"/>
              <w:rPr>
                <w:sz w:val="23"/>
                <w:szCs w:val="23"/>
              </w:rPr>
            </w:pPr>
            <w:r>
              <w:rPr>
                <w:b/>
                <w:bCs/>
                <w:spacing w:val="-4"/>
                <w:sz w:val="23"/>
                <w:szCs w:val="23"/>
              </w:rPr>
              <w:t>接头等级</w:t>
            </w:r>
          </w:p>
        </w:tc>
        <w:tc>
          <w:tcPr>
            <w:tcW w:w="3585" w:type="dxa"/>
            <w:vAlign w:val="top"/>
          </w:tcPr>
          <w:p w14:paraId="2BC37F1F">
            <w:pPr>
              <w:pStyle w:val="6"/>
              <w:spacing w:before="114" w:line="221" w:lineRule="auto"/>
              <w:ind w:left="1605"/>
              <w:rPr>
                <w:sz w:val="23"/>
                <w:szCs w:val="23"/>
              </w:rPr>
            </w:pPr>
            <w:r>
              <w:rPr>
                <w:b/>
                <w:bCs/>
                <w:spacing w:val="-2"/>
                <w:sz w:val="23"/>
                <w:szCs w:val="23"/>
              </w:rPr>
              <w:t>I级</w:t>
            </w:r>
          </w:p>
        </w:tc>
        <w:tc>
          <w:tcPr>
            <w:tcW w:w="1618" w:type="dxa"/>
            <w:vAlign w:val="top"/>
          </w:tcPr>
          <w:p w14:paraId="6EB5A6A0">
            <w:pPr>
              <w:pStyle w:val="6"/>
              <w:spacing w:before="114" w:line="221" w:lineRule="auto"/>
              <w:ind w:left="580"/>
              <w:rPr>
                <w:sz w:val="23"/>
                <w:szCs w:val="23"/>
              </w:rPr>
            </w:pPr>
            <w:r>
              <w:rPr>
                <w:b/>
                <w:bCs/>
                <w:spacing w:val="-27"/>
                <w:sz w:val="23"/>
                <w:szCs w:val="23"/>
              </w:rPr>
              <w:t>Ⅱ</w:t>
            </w:r>
            <w:r>
              <w:rPr>
                <w:spacing w:val="-47"/>
                <w:sz w:val="23"/>
                <w:szCs w:val="23"/>
              </w:rPr>
              <w:t xml:space="preserve"> </w:t>
            </w:r>
            <w:r>
              <w:rPr>
                <w:b/>
                <w:bCs/>
                <w:spacing w:val="-27"/>
                <w:sz w:val="23"/>
                <w:szCs w:val="23"/>
              </w:rPr>
              <w:t>级</w:t>
            </w:r>
          </w:p>
        </w:tc>
        <w:tc>
          <w:tcPr>
            <w:tcW w:w="1743" w:type="dxa"/>
            <w:vAlign w:val="top"/>
          </w:tcPr>
          <w:p w14:paraId="46ED24FF">
            <w:pPr>
              <w:pStyle w:val="6"/>
              <w:spacing w:before="114" w:line="221" w:lineRule="auto"/>
              <w:ind w:left="642"/>
              <w:rPr>
                <w:sz w:val="23"/>
                <w:szCs w:val="23"/>
              </w:rPr>
            </w:pPr>
            <w:r>
              <w:rPr>
                <w:b/>
                <w:bCs/>
                <w:spacing w:val="-5"/>
                <w:sz w:val="23"/>
                <w:szCs w:val="23"/>
              </w:rPr>
              <w:t>Ⅲ级</w:t>
            </w:r>
          </w:p>
        </w:tc>
      </w:tr>
      <w:tr w14:paraId="6FFCD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8" w:hRule="atLeast"/>
        </w:trPr>
        <w:tc>
          <w:tcPr>
            <w:tcW w:w="1623" w:type="dxa"/>
            <w:vAlign w:val="top"/>
          </w:tcPr>
          <w:p w14:paraId="7434D8F0">
            <w:pPr>
              <w:spacing w:line="273" w:lineRule="auto"/>
              <w:rPr>
                <w:rFonts w:ascii="Arial"/>
                <w:sz w:val="21"/>
              </w:rPr>
            </w:pPr>
          </w:p>
          <w:p w14:paraId="100082C4">
            <w:pPr>
              <w:pStyle w:val="6"/>
              <w:spacing w:before="75" w:line="219" w:lineRule="auto"/>
              <w:ind w:left="118"/>
              <w:rPr>
                <w:sz w:val="23"/>
                <w:szCs w:val="23"/>
              </w:rPr>
            </w:pPr>
            <w:r>
              <w:rPr>
                <w:b/>
                <w:bCs/>
                <w:spacing w:val="-5"/>
                <w:sz w:val="23"/>
                <w:szCs w:val="23"/>
              </w:rPr>
              <w:t>极限抗拉强度</w:t>
            </w:r>
          </w:p>
        </w:tc>
        <w:tc>
          <w:tcPr>
            <w:tcW w:w="3585" w:type="dxa"/>
            <w:vAlign w:val="top"/>
          </w:tcPr>
          <w:p w14:paraId="00A6A855">
            <w:pPr>
              <w:pStyle w:val="6"/>
              <w:spacing w:before="139" w:line="349" w:lineRule="exact"/>
              <w:ind w:left="605"/>
              <w:rPr>
                <w:sz w:val="23"/>
                <w:szCs w:val="23"/>
              </w:rPr>
            </w:pPr>
            <w:r>
              <w:rPr>
                <w:b/>
                <w:bCs/>
                <w:spacing w:val="-4"/>
                <w:position w:val="-1"/>
                <w:sz w:val="23"/>
                <w:szCs w:val="23"/>
              </w:rPr>
              <w:t>fst≥fstk</w:t>
            </w:r>
            <w:r>
              <w:rPr>
                <w:spacing w:val="18"/>
                <w:position w:val="-1"/>
                <w:sz w:val="23"/>
                <w:szCs w:val="23"/>
              </w:rPr>
              <w:t xml:space="preserve">     </w:t>
            </w:r>
            <w:r>
              <w:rPr>
                <w:b/>
                <w:bCs/>
                <w:spacing w:val="-4"/>
                <w:position w:val="3"/>
                <w:sz w:val="23"/>
                <w:szCs w:val="23"/>
              </w:rPr>
              <w:t>钢筋拉断</w:t>
            </w:r>
          </w:p>
          <w:p w14:paraId="27D5788D">
            <w:pPr>
              <w:pStyle w:val="6"/>
              <w:spacing w:before="75" w:line="224" w:lineRule="auto"/>
              <w:ind w:left="115"/>
              <w:rPr>
                <w:sz w:val="23"/>
                <w:szCs w:val="23"/>
              </w:rPr>
            </w:pPr>
            <w:r>
              <w:rPr>
                <w:b/>
                <w:bCs/>
                <w:spacing w:val="-3"/>
                <w:sz w:val="23"/>
                <w:szCs w:val="23"/>
              </w:rPr>
              <w:t>或fst≥1.10fsuk</w:t>
            </w:r>
            <w:r>
              <w:rPr>
                <w:spacing w:val="-3"/>
                <w:sz w:val="23"/>
                <w:szCs w:val="23"/>
              </w:rPr>
              <w:t xml:space="preserve">    </w:t>
            </w:r>
            <w:r>
              <w:rPr>
                <w:b/>
                <w:bCs/>
                <w:spacing w:val="-3"/>
                <w:sz w:val="23"/>
                <w:szCs w:val="23"/>
              </w:rPr>
              <w:t>连接件破坏</w:t>
            </w:r>
          </w:p>
        </w:tc>
        <w:tc>
          <w:tcPr>
            <w:tcW w:w="1618" w:type="dxa"/>
            <w:vAlign w:val="top"/>
          </w:tcPr>
          <w:p w14:paraId="0B645674">
            <w:pPr>
              <w:spacing w:line="299" w:lineRule="auto"/>
              <w:rPr>
                <w:rFonts w:ascii="Arial"/>
                <w:sz w:val="21"/>
              </w:rPr>
            </w:pPr>
          </w:p>
          <w:p w14:paraId="7F8AC04D">
            <w:pPr>
              <w:pStyle w:val="6"/>
              <w:spacing w:before="75" w:line="237" w:lineRule="auto"/>
              <w:ind w:left="286"/>
              <w:rPr>
                <w:sz w:val="23"/>
                <w:szCs w:val="23"/>
              </w:rPr>
            </w:pPr>
            <w:r>
              <w:rPr>
                <w:spacing w:val="-2"/>
                <w:sz w:val="23"/>
                <w:szCs w:val="23"/>
              </w:rPr>
              <w:t>fhst≥fsk</w:t>
            </w:r>
          </w:p>
        </w:tc>
        <w:tc>
          <w:tcPr>
            <w:tcW w:w="1743" w:type="dxa"/>
            <w:vAlign w:val="top"/>
          </w:tcPr>
          <w:p w14:paraId="5CCF0BD8">
            <w:pPr>
              <w:spacing w:line="268" w:lineRule="auto"/>
              <w:rPr>
                <w:rFonts w:ascii="Arial"/>
                <w:sz w:val="21"/>
              </w:rPr>
            </w:pPr>
          </w:p>
          <w:p w14:paraId="2E7E1E2D">
            <w:pPr>
              <w:pStyle w:val="6"/>
              <w:spacing w:before="74" w:line="215" w:lineRule="auto"/>
              <w:ind w:left="122"/>
              <w:rPr>
                <w:sz w:val="23"/>
                <w:szCs w:val="23"/>
              </w:rPr>
            </w:pPr>
            <w:r>
              <w:rPr>
                <w:b/>
                <w:bCs/>
                <w:spacing w:val="-4"/>
                <w:sz w:val="23"/>
                <w:szCs w:val="23"/>
              </w:rPr>
              <w:t>fhst≥1.25fyk</w:t>
            </w:r>
          </w:p>
        </w:tc>
      </w:tr>
    </w:tbl>
    <w:p w14:paraId="795A7BBC">
      <w:pPr>
        <w:spacing w:before="234" w:line="219" w:lineRule="auto"/>
        <w:rPr>
          <w:rFonts w:ascii="宋体" w:hAnsi="宋体" w:eastAsia="宋体" w:cs="宋体"/>
          <w:sz w:val="24"/>
          <w:szCs w:val="24"/>
        </w:rPr>
      </w:pPr>
      <w:r>
        <w:rPr>
          <w:rFonts w:ascii="宋体" w:hAnsi="宋体" w:eastAsia="宋体" w:cs="宋体"/>
          <w:sz w:val="24"/>
          <w:szCs w:val="24"/>
        </w:rPr>
        <w:t>注：1  钢筋拉断指断于钢筋母材、套筒外钢筋丝头和钢筋镦粗过渡段；</w:t>
      </w:r>
    </w:p>
    <w:p w14:paraId="770ABDBF">
      <w:pPr>
        <w:spacing w:before="27" w:line="272" w:lineRule="auto"/>
        <w:ind w:right="292"/>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连接件破坏指断于套筒、套筒纵</w:t>
      </w:r>
      <w:r>
        <w:rPr>
          <w:rFonts w:ascii="宋体" w:hAnsi="宋体" w:eastAsia="宋体" w:cs="宋体"/>
          <w:sz w:val="24"/>
          <w:szCs w:val="24"/>
        </w:rPr>
        <w:t xml:space="preserve">向开裂或钢筋从套筒中拔出以及其他连接组件破 </w:t>
      </w:r>
      <w:r>
        <w:rPr>
          <w:rFonts w:ascii="宋体" w:hAnsi="宋体" w:eastAsia="宋体" w:cs="宋体"/>
          <w:spacing w:val="-5"/>
          <w:sz w:val="24"/>
          <w:szCs w:val="24"/>
        </w:rPr>
        <w:t>坏</w:t>
      </w:r>
      <w:r>
        <w:rPr>
          <w:rFonts w:ascii="宋体" w:hAnsi="宋体" w:eastAsia="宋体" w:cs="宋体"/>
          <w:color w:val="203050"/>
          <w:spacing w:val="-5"/>
          <w:sz w:val="24"/>
          <w:szCs w:val="24"/>
        </w:rPr>
        <w:t>。</w:t>
      </w:r>
    </w:p>
    <w:p w14:paraId="4246793B">
      <w:pPr>
        <w:spacing w:before="55" w:line="219" w:lineRule="auto"/>
        <w:outlineLvl w:val="1"/>
        <w:rPr>
          <w:rFonts w:ascii="宋体" w:hAnsi="宋体" w:eastAsia="宋体" w:cs="宋体"/>
          <w:sz w:val="31"/>
          <w:szCs w:val="31"/>
        </w:rPr>
      </w:pPr>
      <w:bookmarkStart w:id="45" w:name="bookmark92"/>
      <w:bookmarkEnd w:id="45"/>
      <w:r>
        <w:rPr>
          <w:rFonts w:ascii="宋体" w:hAnsi="宋体" w:eastAsia="宋体" w:cs="宋体"/>
          <w:spacing w:val="-19"/>
          <w:sz w:val="31"/>
          <w:szCs w:val="31"/>
        </w:rPr>
        <w:t>28.</w:t>
      </w:r>
      <w:r>
        <w:rPr>
          <w:rFonts w:ascii="Times New Roman" w:hAnsi="Times New Roman" w:eastAsia="Times New Roman" w:cs="Times New Roman"/>
          <w:spacing w:val="-19"/>
          <w:sz w:val="31"/>
          <w:szCs w:val="31"/>
        </w:rPr>
        <w:t>JGJ169-2009</w:t>
      </w:r>
      <w:r>
        <w:rPr>
          <w:rFonts w:ascii="Times New Roman" w:hAnsi="Times New Roman" w:eastAsia="Times New Roman" w:cs="Times New Roman"/>
          <w:spacing w:val="66"/>
          <w:sz w:val="31"/>
          <w:szCs w:val="31"/>
        </w:rPr>
        <w:t xml:space="preserve"> </w:t>
      </w:r>
      <w:r>
        <w:rPr>
          <w:rFonts w:ascii="宋体" w:hAnsi="宋体" w:eastAsia="宋体" w:cs="宋体"/>
          <w:spacing w:val="-19"/>
          <w:sz w:val="31"/>
          <w:szCs w:val="31"/>
        </w:rPr>
        <w:t>清水混凝土应用技术规程</w:t>
      </w:r>
    </w:p>
    <w:p w14:paraId="008BCA2F">
      <w:pPr>
        <w:spacing w:before="298" w:line="219" w:lineRule="auto"/>
        <w:rPr>
          <w:rFonts w:ascii="宋体" w:hAnsi="宋体" w:eastAsia="宋体" w:cs="宋体"/>
          <w:sz w:val="24"/>
          <w:szCs w:val="24"/>
        </w:rPr>
      </w:pPr>
      <w:r>
        <w:rPr>
          <w:rFonts w:ascii="Times New Roman" w:hAnsi="Times New Roman" w:eastAsia="Times New Roman" w:cs="Times New Roman"/>
          <w:sz w:val="24"/>
          <w:szCs w:val="24"/>
        </w:rPr>
        <w:t>3.0.4</w:t>
      </w:r>
      <w:r>
        <w:rPr>
          <w:rFonts w:ascii="Times New Roman" w:hAnsi="Times New Roman" w:eastAsia="Times New Roman" w:cs="Times New Roman"/>
          <w:spacing w:val="19"/>
          <w:w w:val="101"/>
          <w:sz w:val="24"/>
          <w:szCs w:val="24"/>
        </w:rPr>
        <w:t xml:space="preserve">   </w:t>
      </w:r>
      <w:r>
        <w:rPr>
          <w:rFonts w:ascii="宋体" w:hAnsi="宋体" w:eastAsia="宋体" w:cs="宋体"/>
          <w:sz w:val="24"/>
          <w:szCs w:val="24"/>
        </w:rPr>
        <w:t>处于潮湿环境和干湿交替环境的混凝土，应选用非碱活性骨料。</w:t>
      </w:r>
    </w:p>
    <w:p w14:paraId="6D62F12C">
      <w:pPr>
        <w:spacing w:before="136" w:line="279" w:lineRule="auto"/>
        <w:ind w:right="169"/>
        <w:rPr>
          <w:rFonts w:ascii="宋体" w:hAnsi="宋体" w:eastAsia="宋体" w:cs="宋体"/>
          <w:sz w:val="24"/>
          <w:szCs w:val="24"/>
        </w:rPr>
      </w:pPr>
      <w:r>
        <w:rPr>
          <w:rFonts w:ascii="Times New Roman" w:hAnsi="Times New Roman" w:eastAsia="Times New Roman" w:cs="Times New Roman"/>
          <w:spacing w:val="1"/>
          <w:sz w:val="24"/>
          <w:szCs w:val="24"/>
        </w:rPr>
        <w:t>4.2.3</w:t>
      </w:r>
      <w:r>
        <w:rPr>
          <w:rFonts w:ascii="Times New Roman" w:hAnsi="Times New Roman" w:eastAsia="Times New Roman" w:cs="Times New Roman"/>
          <w:spacing w:val="18"/>
          <w:sz w:val="24"/>
          <w:szCs w:val="24"/>
        </w:rPr>
        <w:t xml:space="preserve">   </w:t>
      </w:r>
      <w:r>
        <w:rPr>
          <w:rFonts w:ascii="宋体" w:hAnsi="宋体" w:eastAsia="宋体" w:cs="宋体"/>
          <w:spacing w:val="1"/>
          <w:sz w:val="24"/>
          <w:szCs w:val="24"/>
        </w:rPr>
        <w:t>对于处于露天环境的清水混凝土结构，其纵向受力</w:t>
      </w:r>
      <w:r>
        <w:rPr>
          <w:rFonts w:ascii="宋体" w:hAnsi="宋体" w:eastAsia="宋体" w:cs="宋体"/>
          <w:sz w:val="24"/>
          <w:szCs w:val="24"/>
        </w:rPr>
        <w:t xml:space="preserve">钢筋的混凝土保护层最小厚 </w:t>
      </w:r>
      <w:r>
        <w:rPr>
          <w:rFonts w:ascii="宋体" w:hAnsi="宋体" w:eastAsia="宋体" w:cs="宋体"/>
          <w:spacing w:val="-3"/>
          <w:sz w:val="24"/>
          <w:szCs w:val="24"/>
        </w:rPr>
        <w:t>度应符合表4.2.3的规定。</w:t>
      </w:r>
    </w:p>
    <w:p w14:paraId="3DFB8804">
      <w:pPr>
        <w:spacing w:before="165" w:line="215" w:lineRule="auto"/>
        <w:ind w:left="1980"/>
        <w:rPr>
          <w:rFonts w:ascii="宋体" w:hAnsi="宋体" w:eastAsia="宋体" w:cs="宋体"/>
          <w:sz w:val="22"/>
          <w:szCs w:val="22"/>
        </w:rPr>
      </w:pPr>
      <w:r>
        <w:rPr>
          <w:rFonts w:ascii="宋体" w:hAnsi="宋体" w:eastAsia="宋体" w:cs="宋体"/>
          <w:spacing w:val="2"/>
          <w:sz w:val="22"/>
          <w:szCs w:val="22"/>
        </w:rPr>
        <w:t>表4.2.3纵向受力钢筋的混凝土保护层最小</w:t>
      </w:r>
      <w:r>
        <w:rPr>
          <w:rFonts w:ascii="宋体" w:hAnsi="宋体" w:eastAsia="宋体" w:cs="宋体"/>
          <w:spacing w:val="1"/>
          <w:sz w:val="22"/>
          <w:szCs w:val="22"/>
        </w:rPr>
        <w:t>厚度(</w:t>
      </w:r>
      <w:r>
        <w:rPr>
          <w:rFonts w:ascii="宋体" w:hAnsi="宋体" w:eastAsia="宋体" w:cs="宋体"/>
          <w:sz w:val="22"/>
          <w:szCs w:val="22"/>
        </w:rPr>
        <w:t>mm</w:t>
      </w:r>
      <w:r>
        <w:rPr>
          <w:rFonts w:ascii="宋体" w:hAnsi="宋体" w:eastAsia="宋体" w:cs="宋体"/>
          <w:spacing w:val="1"/>
          <w:sz w:val="22"/>
          <w:szCs w:val="22"/>
        </w:rPr>
        <w:t>)</w:t>
      </w:r>
    </w:p>
    <w:tbl>
      <w:tblPr>
        <w:tblStyle w:val="5"/>
        <w:tblW w:w="8519" w:type="dxa"/>
        <w:tblInd w:w="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60"/>
        <w:gridCol w:w="4259"/>
      </w:tblGrid>
      <w:tr w14:paraId="2C07A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4260" w:type="dxa"/>
            <w:vAlign w:val="top"/>
          </w:tcPr>
          <w:p w14:paraId="5F0F66F3">
            <w:pPr>
              <w:pStyle w:val="6"/>
              <w:spacing w:before="163" w:line="219" w:lineRule="auto"/>
              <w:ind w:left="1915"/>
            </w:pPr>
            <w:r>
              <w:rPr>
                <w:spacing w:val="-3"/>
              </w:rPr>
              <w:t>部位</w:t>
            </w:r>
          </w:p>
        </w:tc>
        <w:tc>
          <w:tcPr>
            <w:tcW w:w="4259" w:type="dxa"/>
            <w:vAlign w:val="top"/>
          </w:tcPr>
          <w:p w14:paraId="5FDE2E38">
            <w:pPr>
              <w:pStyle w:val="6"/>
              <w:spacing w:before="183" w:line="219" w:lineRule="auto"/>
              <w:ind w:left="1384"/>
            </w:pPr>
            <w:r>
              <w:rPr>
                <w:spacing w:val="1"/>
              </w:rPr>
              <w:t>保护层最小厚度</w:t>
            </w:r>
          </w:p>
        </w:tc>
      </w:tr>
      <w:tr w14:paraId="43C42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4260" w:type="dxa"/>
            <w:vAlign w:val="top"/>
          </w:tcPr>
          <w:p w14:paraId="5CD1C9A4">
            <w:pPr>
              <w:pStyle w:val="6"/>
              <w:spacing w:before="170" w:line="219" w:lineRule="auto"/>
              <w:ind w:left="1594"/>
            </w:pPr>
            <w:r>
              <w:rPr>
                <w:spacing w:val="-2"/>
              </w:rPr>
              <w:t>板、墙、壳</w:t>
            </w:r>
          </w:p>
        </w:tc>
        <w:tc>
          <w:tcPr>
            <w:tcW w:w="4259" w:type="dxa"/>
            <w:vAlign w:val="top"/>
          </w:tcPr>
          <w:p w14:paraId="646F1287">
            <w:pPr>
              <w:pStyle w:val="6"/>
              <w:spacing w:before="202" w:line="197" w:lineRule="auto"/>
              <w:ind w:left="2015"/>
            </w:pPr>
            <w:r>
              <w:rPr>
                <w:spacing w:val="-6"/>
              </w:rPr>
              <w:t>2</w:t>
            </w:r>
            <w:r>
              <w:rPr>
                <w:color w:val="002010"/>
                <w:spacing w:val="-6"/>
              </w:rPr>
              <w:t>5</w:t>
            </w:r>
          </w:p>
        </w:tc>
      </w:tr>
      <w:tr w14:paraId="1507A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4260" w:type="dxa"/>
            <w:vAlign w:val="top"/>
          </w:tcPr>
          <w:p w14:paraId="45091C9E">
            <w:pPr>
              <w:pStyle w:val="6"/>
              <w:spacing w:before="154" w:line="219" w:lineRule="auto"/>
              <w:ind w:left="2014"/>
            </w:pPr>
            <w:r>
              <w:t>梁</w:t>
            </w:r>
          </w:p>
        </w:tc>
        <w:tc>
          <w:tcPr>
            <w:tcW w:w="4259" w:type="dxa"/>
            <w:vAlign w:val="top"/>
          </w:tcPr>
          <w:p w14:paraId="59BE26B8">
            <w:pPr>
              <w:pStyle w:val="6"/>
              <w:spacing w:before="185" w:line="204" w:lineRule="auto"/>
              <w:ind w:left="2015"/>
            </w:pPr>
            <w:r>
              <w:rPr>
                <w:spacing w:val="-7"/>
              </w:rPr>
              <w:t>3</w:t>
            </w:r>
            <w:r>
              <w:rPr>
                <w:color w:val="001030"/>
                <w:spacing w:val="-7"/>
              </w:rPr>
              <w:t>5</w:t>
            </w:r>
          </w:p>
        </w:tc>
      </w:tr>
      <w:tr w14:paraId="642B12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4260" w:type="dxa"/>
            <w:vAlign w:val="top"/>
          </w:tcPr>
          <w:p w14:paraId="5E56F50F">
            <w:pPr>
              <w:pStyle w:val="6"/>
              <w:spacing w:before="177" w:line="220" w:lineRule="auto"/>
              <w:ind w:left="2014"/>
            </w:pPr>
            <w:r>
              <w:t>柱</w:t>
            </w:r>
          </w:p>
        </w:tc>
        <w:tc>
          <w:tcPr>
            <w:tcW w:w="4259" w:type="dxa"/>
            <w:vAlign w:val="top"/>
          </w:tcPr>
          <w:p w14:paraId="275F54C9">
            <w:pPr>
              <w:pStyle w:val="6"/>
              <w:spacing w:before="207" w:line="197" w:lineRule="auto"/>
              <w:ind w:left="2015"/>
            </w:pPr>
            <w:r>
              <w:rPr>
                <w:spacing w:val="-7"/>
              </w:rPr>
              <w:t>3</w:t>
            </w:r>
            <w:r>
              <w:rPr>
                <w:color w:val="104090"/>
                <w:spacing w:val="-7"/>
              </w:rPr>
              <w:t>5</w:t>
            </w:r>
          </w:p>
        </w:tc>
      </w:tr>
    </w:tbl>
    <w:p w14:paraId="63778BF0">
      <w:pPr>
        <w:spacing w:before="164" w:line="219" w:lineRule="auto"/>
        <w:rPr>
          <w:rFonts w:ascii="宋体" w:hAnsi="宋体" w:eastAsia="宋体" w:cs="宋体"/>
          <w:sz w:val="22"/>
          <w:szCs w:val="22"/>
        </w:rPr>
      </w:pPr>
      <w:r>
        <w:rPr>
          <w:rFonts w:ascii="宋体" w:hAnsi="宋体" w:eastAsia="宋体" w:cs="宋体"/>
          <w:spacing w:val="-11"/>
          <w:sz w:val="22"/>
          <w:szCs w:val="22"/>
        </w:rPr>
        <w:t>注：钢筋的混凝土保护层厚度为钢筋外边缘至混凝土表面的距离。</w:t>
      </w:r>
    </w:p>
    <w:p w14:paraId="3E38ABDA">
      <w:pPr>
        <w:spacing w:before="209" w:line="219" w:lineRule="auto"/>
        <w:outlineLvl w:val="1"/>
        <w:rPr>
          <w:rFonts w:ascii="宋体" w:hAnsi="宋体" w:eastAsia="宋体" w:cs="宋体"/>
          <w:sz w:val="28"/>
          <w:szCs w:val="28"/>
        </w:rPr>
      </w:pPr>
      <w:bookmarkStart w:id="46" w:name="bookmark93"/>
      <w:bookmarkEnd w:id="46"/>
      <w:r>
        <w:rPr>
          <w:rFonts w:ascii="Times New Roman" w:hAnsi="Times New Roman" w:eastAsia="Times New Roman" w:cs="Times New Roman"/>
          <w:spacing w:val="1"/>
          <w:sz w:val="28"/>
          <w:szCs w:val="28"/>
        </w:rPr>
        <w:t>29.</w:t>
      </w:r>
      <w:r>
        <w:rPr>
          <w:rFonts w:ascii="Times New Roman" w:hAnsi="Times New Roman" w:eastAsia="Times New Roman" w:cs="Times New Roman"/>
          <w:sz w:val="28"/>
          <w:szCs w:val="28"/>
        </w:rPr>
        <w:t>JGJ</w:t>
      </w:r>
      <w:r>
        <w:rPr>
          <w:rFonts w:ascii="Times New Roman" w:hAnsi="Times New Roman" w:eastAsia="Times New Roman" w:cs="Times New Roman"/>
          <w:spacing w:val="1"/>
          <w:sz w:val="28"/>
          <w:szCs w:val="28"/>
        </w:rPr>
        <w:t xml:space="preserve">217-2010   </w:t>
      </w:r>
      <w:r>
        <w:rPr>
          <w:rFonts w:ascii="宋体" w:hAnsi="宋体" w:eastAsia="宋体" w:cs="宋体"/>
          <w:spacing w:val="1"/>
          <w:sz w:val="28"/>
          <w:szCs w:val="28"/>
        </w:rPr>
        <w:t>纤维石膏空心大板复合墙体结构技术规程</w:t>
      </w:r>
    </w:p>
    <w:p w14:paraId="677E7151">
      <w:pPr>
        <w:spacing w:before="287" w:line="219" w:lineRule="auto"/>
        <w:rPr>
          <w:rFonts w:ascii="宋体" w:hAnsi="宋体" w:eastAsia="宋体" w:cs="宋体"/>
          <w:sz w:val="24"/>
          <w:szCs w:val="24"/>
        </w:rPr>
      </w:pPr>
      <w:r>
        <w:rPr>
          <w:rFonts w:ascii="Times New Roman" w:hAnsi="Times New Roman" w:eastAsia="Times New Roman" w:cs="Times New Roman"/>
          <w:sz w:val="24"/>
          <w:szCs w:val="24"/>
        </w:rPr>
        <w:t>3.2.1</w:t>
      </w:r>
      <w:r>
        <w:rPr>
          <w:rFonts w:ascii="Times New Roman" w:hAnsi="Times New Roman" w:eastAsia="Times New Roman" w:cs="Times New Roman"/>
          <w:spacing w:val="22"/>
          <w:sz w:val="24"/>
          <w:szCs w:val="24"/>
        </w:rPr>
        <w:t xml:space="preserve">   </w:t>
      </w:r>
      <w:r>
        <w:rPr>
          <w:rFonts w:ascii="宋体" w:hAnsi="宋体" w:eastAsia="宋体" w:cs="宋体"/>
          <w:sz w:val="24"/>
          <w:szCs w:val="24"/>
        </w:rPr>
        <w:t>纤维石膏空心大板复合墙体的全部空腔内细石混凝土的浇筑应采取切实有效的</w:t>
      </w:r>
    </w:p>
    <w:p w14:paraId="1CC7EC0B">
      <w:pPr>
        <w:spacing w:line="219" w:lineRule="auto"/>
        <w:rPr>
          <w:rFonts w:ascii="宋体" w:hAnsi="宋体" w:eastAsia="宋体" w:cs="宋体"/>
          <w:sz w:val="24"/>
          <w:szCs w:val="24"/>
        </w:rPr>
        <w:sectPr>
          <w:footerReference r:id="rId35" w:type="default"/>
          <w:pgSz w:w="11910" w:h="16840"/>
          <w:pgMar w:top="400" w:right="1467" w:bottom="755" w:left="1370" w:header="0" w:footer="593" w:gutter="0"/>
          <w:cols w:space="720" w:num="1"/>
        </w:sectPr>
      </w:pPr>
    </w:p>
    <w:p w14:paraId="76B74067">
      <w:pPr>
        <w:pStyle w:val="2"/>
        <w:spacing w:line="303" w:lineRule="auto"/>
      </w:pPr>
    </w:p>
    <w:p w14:paraId="66D3F4BC">
      <w:pPr>
        <w:pStyle w:val="2"/>
        <w:spacing w:line="303" w:lineRule="auto"/>
      </w:pPr>
    </w:p>
    <w:p w14:paraId="215B11CA">
      <w:pPr>
        <w:pStyle w:val="2"/>
        <w:spacing w:line="303" w:lineRule="auto"/>
      </w:pPr>
    </w:p>
    <w:p w14:paraId="04EEBDA9">
      <w:pPr>
        <w:spacing w:before="78" w:line="220" w:lineRule="auto"/>
        <w:ind w:left="6"/>
        <w:rPr>
          <w:rFonts w:ascii="宋体" w:hAnsi="宋体" w:eastAsia="宋体" w:cs="宋体"/>
          <w:sz w:val="24"/>
          <w:szCs w:val="24"/>
        </w:rPr>
      </w:pPr>
      <w:r>
        <w:rPr>
          <w:rFonts w:ascii="宋体" w:hAnsi="宋体" w:eastAsia="宋体" w:cs="宋体"/>
          <w:sz w:val="24"/>
          <w:szCs w:val="24"/>
        </w:rPr>
        <w:t>密实成型措施，不得存在对混凝土强度有影响的缺陷</w:t>
      </w:r>
      <w:r>
        <w:rPr>
          <w:rFonts w:ascii="宋体" w:hAnsi="宋体" w:eastAsia="宋体" w:cs="宋体"/>
          <w:spacing w:val="-1"/>
          <w:sz w:val="24"/>
          <w:szCs w:val="24"/>
        </w:rPr>
        <w:t>，混凝土强度等级不应小于</w:t>
      </w:r>
    </w:p>
    <w:p w14:paraId="18DDF49B">
      <w:pPr>
        <w:spacing w:before="199" w:line="178" w:lineRule="auto"/>
        <w:ind w:left="4"/>
        <w:rPr>
          <w:rFonts w:ascii="宋体" w:hAnsi="宋体" w:eastAsia="宋体" w:cs="宋体"/>
          <w:sz w:val="24"/>
          <w:szCs w:val="24"/>
        </w:rPr>
      </w:pPr>
      <w:r>
        <w:rPr>
          <w:rFonts w:ascii="Times New Roman" w:hAnsi="Times New Roman" w:eastAsia="Times New Roman" w:cs="Times New Roman"/>
          <w:spacing w:val="-3"/>
          <w:sz w:val="24"/>
          <w:szCs w:val="24"/>
        </w:rPr>
        <w:t>C20</w:t>
      </w:r>
      <w:r>
        <w:rPr>
          <w:rFonts w:ascii="宋体" w:hAnsi="宋体" w:eastAsia="宋体" w:cs="宋体"/>
          <w:spacing w:val="-3"/>
          <w:sz w:val="24"/>
          <w:szCs w:val="24"/>
        </w:rPr>
        <w:t>。</w:t>
      </w:r>
    </w:p>
    <w:p w14:paraId="1F6F5337">
      <w:pPr>
        <w:spacing w:before="163" w:line="341" w:lineRule="auto"/>
        <w:ind w:left="4" w:right="130" w:hanging="4"/>
        <w:rPr>
          <w:rFonts w:ascii="宋体" w:hAnsi="宋体" w:eastAsia="宋体" w:cs="宋体"/>
          <w:sz w:val="24"/>
          <w:szCs w:val="24"/>
        </w:rPr>
      </w:pPr>
      <w:r>
        <w:rPr>
          <w:rFonts w:ascii="Times New Roman" w:hAnsi="Times New Roman" w:eastAsia="Times New Roman" w:cs="Times New Roman"/>
          <w:sz w:val="24"/>
          <w:szCs w:val="24"/>
        </w:rPr>
        <w:t xml:space="preserve">4.2.1    </w:t>
      </w:r>
      <w:r>
        <w:rPr>
          <w:rFonts w:ascii="宋体" w:hAnsi="宋体" w:eastAsia="宋体" w:cs="宋体"/>
          <w:sz w:val="24"/>
          <w:szCs w:val="24"/>
        </w:rPr>
        <w:t>纤维石膏空心大板复合墙</w:t>
      </w:r>
      <w:r>
        <w:rPr>
          <w:rFonts w:ascii="宋体" w:hAnsi="宋体" w:eastAsia="宋体" w:cs="宋体"/>
          <w:spacing w:val="-1"/>
          <w:sz w:val="24"/>
          <w:szCs w:val="24"/>
        </w:rPr>
        <w:t>体结构层高不应超过</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3.3m</w:t>
      </w:r>
      <w:r>
        <w:rPr>
          <w:rFonts w:ascii="宋体" w:hAnsi="宋体" w:eastAsia="宋体" w:cs="宋体"/>
          <w:spacing w:val="-1"/>
          <w:sz w:val="24"/>
          <w:szCs w:val="24"/>
        </w:rPr>
        <w:t>，建筑最多层数和建筑总高</w:t>
      </w:r>
      <w:r>
        <w:rPr>
          <w:rFonts w:ascii="宋体" w:hAnsi="宋体" w:eastAsia="宋体" w:cs="宋体"/>
          <w:sz w:val="24"/>
          <w:szCs w:val="24"/>
        </w:rPr>
        <w:t xml:space="preserve"> </w:t>
      </w:r>
      <w:r>
        <w:rPr>
          <w:rFonts w:ascii="宋体" w:hAnsi="宋体" w:eastAsia="宋体" w:cs="宋体"/>
          <w:spacing w:val="-5"/>
          <w:sz w:val="24"/>
          <w:szCs w:val="24"/>
        </w:rPr>
        <w:t>度应符合表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4.2.1</w:t>
      </w:r>
      <w:r>
        <w:rPr>
          <w:rFonts w:ascii="Times New Roman" w:hAnsi="Times New Roman" w:eastAsia="Times New Roman" w:cs="Times New Roman"/>
          <w:spacing w:val="29"/>
          <w:w w:val="101"/>
          <w:sz w:val="24"/>
          <w:szCs w:val="24"/>
        </w:rPr>
        <w:t xml:space="preserve"> </w:t>
      </w:r>
      <w:r>
        <w:rPr>
          <w:rFonts w:ascii="宋体" w:hAnsi="宋体" w:eastAsia="宋体" w:cs="宋体"/>
          <w:spacing w:val="-5"/>
          <w:sz w:val="24"/>
          <w:szCs w:val="24"/>
        </w:rPr>
        <w:t>的规定。</w:t>
      </w:r>
    </w:p>
    <w:p w14:paraId="036A8A3E">
      <w:pPr>
        <w:spacing w:before="19" w:line="220" w:lineRule="auto"/>
        <w:ind w:left="3043"/>
        <w:rPr>
          <w:rFonts w:ascii="宋体" w:hAnsi="宋体" w:eastAsia="宋体" w:cs="宋体"/>
          <w:sz w:val="21"/>
          <w:szCs w:val="21"/>
        </w:rPr>
      </w:pPr>
      <w:r>
        <w:rPr>
          <w:rFonts w:ascii="宋体" w:hAnsi="宋体" w:eastAsia="宋体" w:cs="宋体"/>
          <w:spacing w:val="-1"/>
          <w:sz w:val="21"/>
          <w:szCs w:val="21"/>
        </w:rPr>
        <w:t>表</w:t>
      </w:r>
      <w:r>
        <w:rPr>
          <w:rFonts w:ascii="宋体" w:hAnsi="宋体" w:eastAsia="宋体" w:cs="宋体"/>
          <w:spacing w:val="-41"/>
          <w:sz w:val="21"/>
          <w:szCs w:val="21"/>
        </w:rPr>
        <w:t xml:space="preserve"> </w:t>
      </w:r>
      <w:r>
        <w:rPr>
          <w:rFonts w:ascii="Times New Roman" w:hAnsi="Times New Roman" w:eastAsia="Times New Roman" w:cs="Times New Roman"/>
          <w:spacing w:val="-1"/>
          <w:sz w:val="21"/>
          <w:szCs w:val="21"/>
        </w:rPr>
        <w:t xml:space="preserve">4.2.1    </w:t>
      </w:r>
      <w:r>
        <w:rPr>
          <w:rFonts w:ascii="宋体" w:hAnsi="宋体" w:eastAsia="宋体" w:cs="宋体"/>
          <w:spacing w:val="-1"/>
          <w:sz w:val="21"/>
          <w:szCs w:val="21"/>
        </w:rPr>
        <w:t>最多层数和建筑总高度</w:t>
      </w:r>
    </w:p>
    <w:p w14:paraId="19952790">
      <w:pPr>
        <w:spacing w:line="18"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839"/>
        <w:gridCol w:w="2844"/>
      </w:tblGrid>
      <w:tr w14:paraId="3330E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843" w:type="dxa"/>
            <w:vAlign w:val="top"/>
          </w:tcPr>
          <w:p w14:paraId="65BF908B">
            <w:pPr>
              <w:pStyle w:val="6"/>
              <w:spacing w:before="176" w:line="220" w:lineRule="auto"/>
              <w:ind w:left="797"/>
            </w:pPr>
            <w:r>
              <w:rPr>
                <w:spacing w:val="-2"/>
              </w:rPr>
              <w:t>抗震设防烈度</w:t>
            </w:r>
          </w:p>
        </w:tc>
        <w:tc>
          <w:tcPr>
            <w:tcW w:w="2839" w:type="dxa"/>
            <w:vAlign w:val="top"/>
          </w:tcPr>
          <w:p w14:paraId="4AF7AE3A">
            <w:pPr>
              <w:pStyle w:val="6"/>
              <w:spacing w:before="176" w:line="220" w:lineRule="auto"/>
              <w:ind w:left="1008"/>
            </w:pPr>
            <w:r>
              <w:rPr>
                <w:spacing w:val="-3"/>
              </w:rPr>
              <w:t>最多层数</w:t>
            </w:r>
          </w:p>
        </w:tc>
        <w:tc>
          <w:tcPr>
            <w:tcW w:w="2844" w:type="dxa"/>
            <w:vAlign w:val="top"/>
          </w:tcPr>
          <w:p w14:paraId="2D777CCE">
            <w:pPr>
              <w:pStyle w:val="6"/>
              <w:spacing w:before="176" w:line="220" w:lineRule="auto"/>
              <w:ind w:left="612"/>
            </w:pPr>
            <w:r>
              <w:rPr>
                <w:spacing w:val="-2"/>
              </w:rPr>
              <w:t>建筑总高度（</w:t>
            </w:r>
            <w:r>
              <w:rPr>
                <w:rFonts w:ascii="Times New Roman" w:hAnsi="Times New Roman" w:eastAsia="Times New Roman" w:cs="Times New Roman"/>
                <w:spacing w:val="-2"/>
              </w:rPr>
              <w:t>m</w:t>
            </w:r>
            <w:r>
              <w:rPr>
                <w:spacing w:val="-2"/>
              </w:rPr>
              <w:t>）</w:t>
            </w:r>
          </w:p>
        </w:tc>
      </w:tr>
      <w:tr w14:paraId="02916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843" w:type="dxa"/>
            <w:vAlign w:val="top"/>
          </w:tcPr>
          <w:p w14:paraId="191B8EF9">
            <w:pPr>
              <w:spacing w:before="212" w:line="186" w:lineRule="auto"/>
              <w:ind w:left="1376"/>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2839" w:type="dxa"/>
            <w:vAlign w:val="top"/>
          </w:tcPr>
          <w:p w14:paraId="65B76173">
            <w:pPr>
              <w:spacing w:before="215" w:line="183" w:lineRule="auto"/>
              <w:ind w:left="1373"/>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2844" w:type="dxa"/>
            <w:vAlign w:val="top"/>
          </w:tcPr>
          <w:p w14:paraId="396B2056">
            <w:pPr>
              <w:spacing w:before="212" w:line="186" w:lineRule="auto"/>
              <w:ind w:left="131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r>
      <w:tr w14:paraId="0943B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2843" w:type="dxa"/>
            <w:vAlign w:val="top"/>
          </w:tcPr>
          <w:p w14:paraId="674C5D29">
            <w:pPr>
              <w:spacing w:before="216" w:line="183" w:lineRule="auto"/>
              <w:ind w:left="1375"/>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2839" w:type="dxa"/>
            <w:vAlign w:val="top"/>
          </w:tcPr>
          <w:p w14:paraId="0F383D97">
            <w:pPr>
              <w:spacing w:before="213" w:line="186" w:lineRule="auto"/>
              <w:ind w:left="1374"/>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2844" w:type="dxa"/>
            <w:vAlign w:val="top"/>
          </w:tcPr>
          <w:p w14:paraId="7AE3565A">
            <w:pPr>
              <w:spacing w:before="213" w:line="186" w:lineRule="auto"/>
              <w:ind w:left="131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r>
      <w:tr w14:paraId="27F1C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843" w:type="dxa"/>
            <w:vAlign w:val="top"/>
          </w:tcPr>
          <w:p w14:paraId="2841F853">
            <w:pPr>
              <w:spacing w:before="214" w:line="186" w:lineRule="auto"/>
              <w:ind w:left="1380"/>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2839" w:type="dxa"/>
            <w:vAlign w:val="top"/>
          </w:tcPr>
          <w:p w14:paraId="7548F9F6">
            <w:pPr>
              <w:spacing w:before="217" w:line="183" w:lineRule="auto"/>
              <w:ind w:left="1375"/>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2844" w:type="dxa"/>
            <w:vAlign w:val="top"/>
          </w:tcPr>
          <w:p w14:paraId="6C15DE6C">
            <w:pPr>
              <w:spacing w:before="214" w:line="186" w:lineRule="auto"/>
              <w:ind w:left="133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r>
    </w:tbl>
    <w:p w14:paraId="543F9881">
      <w:pPr>
        <w:spacing w:before="173" w:line="375" w:lineRule="auto"/>
        <w:ind w:left="4" w:right="67"/>
        <w:rPr>
          <w:rFonts w:ascii="宋体" w:hAnsi="宋体" w:eastAsia="宋体" w:cs="宋体"/>
          <w:sz w:val="21"/>
          <w:szCs w:val="21"/>
        </w:rPr>
      </w:pPr>
      <w:r>
        <w:rPr>
          <w:rFonts w:ascii="宋体" w:hAnsi="宋体" w:eastAsia="宋体" w:cs="宋体"/>
          <w:spacing w:val="-1"/>
          <w:sz w:val="21"/>
          <w:szCs w:val="21"/>
        </w:rPr>
        <w:t>注：建筑总高度是指建筑室外地面到其檐口或屋面面层的高度，半地下室从地下室室内地面算起。</w:t>
      </w:r>
      <w:r>
        <w:rPr>
          <w:rFonts w:ascii="宋体" w:hAnsi="宋体" w:eastAsia="宋体" w:cs="宋体"/>
          <w:spacing w:val="3"/>
          <w:sz w:val="21"/>
          <w:szCs w:val="21"/>
        </w:rPr>
        <w:t xml:space="preserve"> </w:t>
      </w:r>
      <w:r>
        <w:rPr>
          <w:rFonts w:ascii="宋体" w:hAnsi="宋体" w:eastAsia="宋体" w:cs="宋体"/>
          <w:spacing w:val="-1"/>
          <w:sz w:val="21"/>
          <w:szCs w:val="21"/>
        </w:rPr>
        <w:t>全地下室和嵌固条件好的半地下室应从室外地面算起，</w:t>
      </w:r>
      <w:r>
        <w:rPr>
          <w:rFonts w:ascii="宋体" w:hAnsi="宋体" w:eastAsia="宋体" w:cs="宋体"/>
          <w:spacing w:val="-2"/>
          <w:sz w:val="21"/>
          <w:szCs w:val="21"/>
        </w:rPr>
        <w:t>对带阁楼的屋面应算到山墙的</w:t>
      </w:r>
      <w:r>
        <w:rPr>
          <w:rFonts w:ascii="宋体" w:hAnsi="宋体" w:eastAsia="宋体" w:cs="宋体"/>
          <w:spacing w:val="-28"/>
          <w:sz w:val="21"/>
          <w:szCs w:val="21"/>
        </w:rPr>
        <w:t xml:space="preserve"> </w:t>
      </w:r>
      <w:r>
        <w:rPr>
          <w:rFonts w:ascii="Times New Roman" w:hAnsi="Times New Roman" w:eastAsia="Times New Roman" w:cs="Times New Roman"/>
          <w:spacing w:val="-2"/>
          <w:sz w:val="21"/>
          <w:szCs w:val="21"/>
        </w:rPr>
        <w:t>1/2</w:t>
      </w:r>
      <w:r>
        <w:rPr>
          <w:rFonts w:ascii="Times New Roman" w:hAnsi="Times New Roman" w:eastAsia="Times New Roman" w:cs="Times New Roman"/>
          <w:spacing w:val="15"/>
          <w:sz w:val="21"/>
          <w:szCs w:val="21"/>
        </w:rPr>
        <w:t xml:space="preserve"> </w:t>
      </w:r>
      <w:r>
        <w:rPr>
          <w:rFonts w:ascii="宋体" w:hAnsi="宋体" w:eastAsia="宋体" w:cs="宋体"/>
          <w:spacing w:val="-2"/>
          <w:sz w:val="21"/>
          <w:szCs w:val="21"/>
        </w:rPr>
        <w:t>高度处。</w:t>
      </w:r>
    </w:p>
    <w:p w14:paraId="659A0725">
      <w:pPr>
        <w:spacing w:before="1" w:line="218"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6.1.7    </w:t>
      </w:r>
      <w:r>
        <w:rPr>
          <w:rFonts w:ascii="宋体" w:hAnsi="宋体" w:eastAsia="宋体" w:cs="宋体"/>
          <w:spacing w:val="-1"/>
          <w:sz w:val="24"/>
          <w:szCs w:val="24"/>
        </w:rPr>
        <w:t>楼梯间四角、楼梯段上下端</w:t>
      </w:r>
      <w:r>
        <w:rPr>
          <w:rFonts w:ascii="宋体" w:hAnsi="宋体" w:eastAsia="宋体" w:cs="宋体"/>
          <w:spacing w:val="-2"/>
          <w:sz w:val="24"/>
          <w:szCs w:val="24"/>
        </w:rPr>
        <w:t>对应的墙体处应设置芯柱。</w:t>
      </w:r>
    </w:p>
    <w:p w14:paraId="6BADB728">
      <w:pPr>
        <w:spacing w:before="202" w:line="226" w:lineRule="auto"/>
        <w:outlineLvl w:val="1"/>
        <w:rPr>
          <w:rFonts w:ascii="宋体" w:hAnsi="宋体" w:eastAsia="宋体" w:cs="宋体"/>
          <w:sz w:val="27"/>
          <w:szCs w:val="27"/>
        </w:rPr>
      </w:pPr>
      <w:bookmarkStart w:id="47" w:name="bookmark94"/>
      <w:bookmarkEnd w:id="47"/>
      <w:r>
        <w:rPr>
          <w:rFonts w:ascii="Times New Roman" w:hAnsi="Times New Roman" w:eastAsia="Times New Roman" w:cs="Times New Roman"/>
          <w:b/>
          <w:bCs/>
          <w:spacing w:val="5"/>
          <w:sz w:val="27"/>
          <w:szCs w:val="27"/>
        </w:rPr>
        <w:t>30.</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 xml:space="preserve">247-2011  </w:t>
      </w:r>
      <w:r>
        <w:rPr>
          <w:rFonts w:ascii="宋体" w:hAnsi="宋体" w:eastAsia="宋体" w:cs="宋体"/>
          <w:b/>
          <w:bCs/>
          <w:spacing w:val="5"/>
          <w:sz w:val="27"/>
          <w:szCs w:val="27"/>
        </w:rPr>
        <w:t>冰雪景观建筑技术规程</w:t>
      </w:r>
    </w:p>
    <w:p w14:paraId="04364113">
      <w:pPr>
        <w:spacing w:before="286" w:line="279" w:lineRule="auto"/>
        <w:ind w:left="6" w:right="120" w:hanging="7"/>
        <w:rPr>
          <w:rFonts w:ascii="宋体" w:hAnsi="宋体" w:eastAsia="宋体" w:cs="宋体"/>
          <w:sz w:val="24"/>
          <w:szCs w:val="24"/>
        </w:rPr>
      </w:pPr>
      <w:r>
        <w:rPr>
          <w:rFonts w:ascii="Times New Roman" w:hAnsi="Times New Roman" w:eastAsia="Times New Roman" w:cs="Times New Roman"/>
          <w:spacing w:val="-1"/>
          <w:sz w:val="24"/>
          <w:szCs w:val="24"/>
        </w:rPr>
        <w:t xml:space="preserve">4.3.3    </w:t>
      </w:r>
      <w:r>
        <w:rPr>
          <w:rFonts w:ascii="宋体" w:hAnsi="宋体" w:eastAsia="宋体" w:cs="宋体"/>
          <w:spacing w:val="-1"/>
          <w:sz w:val="24"/>
          <w:szCs w:val="24"/>
        </w:rPr>
        <w:t>建筑高度大于</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10m</w:t>
      </w:r>
      <w:r>
        <w:rPr>
          <w:rFonts w:ascii="Times New Roman" w:hAnsi="Times New Roman" w:eastAsia="Times New Roman" w:cs="Times New Roman"/>
          <w:spacing w:val="29"/>
          <w:w w:val="101"/>
          <w:sz w:val="24"/>
          <w:szCs w:val="24"/>
        </w:rPr>
        <w:t xml:space="preserve"> </w:t>
      </w:r>
      <w:r>
        <w:rPr>
          <w:rFonts w:ascii="宋体" w:hAnsi="宋体" w:eastAsia="宋体" w:cs="宋体"/>
          <w:spacing w:val="-1"/>
          <w:sz w:val="24"/>
          <w:szCs w:val="24"/>
        </w:rPr>
        <w:t>的冰景观建筑和允</w:t>
      </w:r>
      <w:r>
        <w:rPr>
          <w:rFonts w:ascii="宋体" w:hAnsi="宋体" w:eastAsia="宋体" w:cs="宋体"/>
          <w:spacing w:val="-2"/>
          <w:sz w:val="24"/>
          <w:szCs w:val="24"/>
        </w:rPr>
        <w:t>许游人进入内部或上部观赏的冰雪景观建</w:t>
      </w:r>
      <w:r>
        <w:rPr>
          <w:rFonts w:ascii="宋体" w:hAnsi="宋体" w:eastAsia="宋体" w:cs="宋体"/>
          <w:sz w:val="24"/>
          <w:szCs w:val="24"/>
        </w:rPr>
        <w:t xml:space="preserve"> </w:t>
      </w:r>
      <w:r>
        <w:rPr>
          <w:rFonts w:ascii="宋体" w:hAnsi="宋体" w:eastAsia="宋体" w:cs="宋体"/>
          <w:spacing w:val="-3"/>
          <w:sz w:val="24"/>
          <w:szCs w:val="24"/>
        </w:rPr>
        <w:t>筑物、构筑物等应进行结构设计。</w:t>
      </w:r>
    </w:p>
    <w:p w14:paraId="06BA4446">
      <w:pPr>
        <w:spacing w:before="156" w:line="298" w:lineRule="auto"/>
        <w:ind w:left="4" w:hanging="4"/>
        <w:rPr>
          <w:rFonts w:ascii="宋体" w:hAnsi="宋体" w:eastAsia="宋体" w:cs="宋体"/>
          <w:sz w:val="24"/>
          <w:szCs w:val="24"/>
        </w:rPr>
      </w:pPr>
      <w:r>
        <w:rPr>
          <w:rFonts w:ascii="Times New Roman" w:hAnsi="Times New Roman" w:eastAsia="Times New Roman" w:cs="Times New Roman"/>
          <w:spacing w:val="-1"/>
          <w:sz w:val="24"/>
          <w:szCs w:val="24"/>
        </w:rPr>
        <w:t xml:space="preserve">4.3.6    </w:t>
      </w:r>
      <w:r>
        <w:rPr>
          <w:rFonts w:ascii="宋体" w:hAnsi="宋体" w:eastAsia="宋体" w:cs="宋体"/>
          <w:spacing w:val="-1"/>
          <w:sz w:val="24"/>
          <w:szCs w:val="24"/>
        </w:rPr>
        <w:t>冰雪景观建筑中，可与游人直接接触的砌体结构垂直高度大于</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5m</w:t>
      </w:r>
      <w:r>
        <w:rPr>
          <w:rFonts w:ascii="Times New Roman" w:hAnsi="Times New Roman" w:eastAsia="Times New Roman" w:cs="Times New Roman"/>
          <w:spacing w:val="21"/>
          <w:w w:val="101"/>
          <w:sz w:val="24"/>
          <w:szCs w:val="24"/>
        </w:rPr>
        <w:t xml:space="preserve"> </w:t>
      </w:r>
      <w:r>
        <w:rPr>
          <w:rFonts w:ascii="宋体" w:hAnsi="宋体" w:eastAsia="宋体" w:cs="宋体"/>
          <w:spacing w:val="-1"/>
          <w:sz w:val="24"/>
          <w:szCs w:val="24"/>
        </w:rPr>
        <w:t>时，应作收分</w:t>
      </w:r>
      <w:r>
        <w:rPr>
          <w:rFonts w:ascii="宋体" w:hAnsi="宋体" w:eastAsia="宋体" w:cs="宋体"/>
          <w:sz w:val="24"/>
          <w:szCs w:val="24"/>
        </w:rPr>
        <w:t xml:space="preserve"> 或阶梯式处理，且其上部最高处的砌体部分或悬挑部分的垂直</w:t>
      </w:r>
      <w:r>
        <w:rPr>
          <w:rFonts w:ascii="宋体" w:hAnsi="宋体" w:eastAsia="宋体" w:cs="宋体"/>
          <w:spacing w:val="-1"/>
          <w:sz w:val="24"/>
          <w:szCs w:val="24"/>
        </w:rPr>
        <w:t>投影与冰雪景观建筑基</w:t>
      </w:r>
      <w:r>
        <w:rPr>
          <w:rFonts w:ascii="宋体" w:hAnsi="宋体" w:eastAsia="宋体" w:cs="宋体"/>
          <w:sz w:val="24"/>
          <w:szCs w:val="24"/>
        </w:rPr>
        <w:t xml:space="preserve">  </w:t>
      </w:r>
      <w:r>
        <w:rPr>
          <w:rFonts w:ascii="宋体" w:hAnsi="宋体" w:eastAsia="宋体" w:cs="宋体"/>
          <w:spacing w:val="-3"/>
          <w:sz w:val="24"/>
          <w:szCs w:val="24"/>
        </w:rPr>
        <w:t>底外边缘的缩回距离不应小于</w:t>
      </w:r>
      <w:r>
        <w:rPr>
          <w:rFonts w:ascii="宋体" w:hAnsi="宋体" w:eastAsia="宋体" w:cs="宋体"/>
          <w:spacing w:val="-35"/>
          <w:sz w:val="24"/>
          <w:szCs w:val="24"/>
        </w:rPr>
        <w:t xml:space="preserve"> </w:t>
      </w:r>
      <w:r>
        <w:rPr>
          <w:rFonts w:ascii="Times New Roman" w:hAnsi="Times New Roman" w:eastAsia="Times New Roman" w:cs="Times New Roman"/>
          <w:spacing w:val="-3"/>
          <w:sz w:val="24"/>
          <w:szCs w:val="24"/>
        </w:rPr>
        <w:t>500mm</w:t>
      </w:r>
      <w:r>
        <w:rPr>
          <w:rFonts w:ascii="宋体" w:hAnsi="宋体" w:eastAsia="宋体" w:cs="宋体"/>
          <w:spacing w:val="-3"/>
          <w:sz w:val="24"/>
          <w:szCs w:val="24"/>
        </w:rPr>
        <w:t>，并应符合下列规定：</w:t>
      </w:r>
    </w:p>
    <w:p w14:paraId="46B930E4">
      <w:pPr>
        <w:spacing w:before="156" w:line="220" w:lineRule="auto"/>
        <w:ind w:left="504"/>
        <w:rPr>
          <w:rFonts w:ascii="宋体" w:hAnsi="宋体" w:eastAsia="宋体" w:cs="宋体"/>
          <w:sz w:val="24"/>
          <w:szCs w:val="24"/>
        </w:rPr>
      </w:pP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应有抗倾覆和抗滑移措施；</w:t>
      </w:r>
    </w:p>
    <w:p w14:paraId="4411C4FD">
      <w:pPr>
        <w:spacing w:before="154" w:line="220" w:lineRule="auto"/>
        <w:ind w:left="481"/>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冰砌体厚度不得小于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700mm</w:t>
      </w:r>
      <w:r>
        <w:rPr>
          <w:rFonts w:ascii="宋体" w:hAnsi="宋体" w:eastAsia="宋体" w:cs="宋体"/>
          <w:spacing w:val="-1"/>
          <w:sz w:val="24"/>
          <w:szCs w:val="24"/>
        </w:rPr>
        <w:t>，并分层砌筑，缝隙粘结率不</w:t>
      </w:r>
      <w:r>
        <w:rPr>
          <w:rFonts w:ascii="宋体" w:hAnsi="宋体" w:eastAsia="宋体" w:cs="宋体"/>
          <w:spacing w:val="-2"/>
          <w:sz w:val="24"/>
          <w:szCs w:val="24"/>
        </w:rPr>
        <w:t>得低于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80%</w:t>
      </w:r>
      <w:r>
        <w:rPr>
          <w:rFonts w:ascii="宋体" w:hAnsi="宋体" w:eastAsia="宋体" w:cs="宋体"/>
          <w:spacing w:val="-2"/>
          <w:sz w:val="24"/>
          <w:szCs w:val="24"/>
        </w:rPr>
        <w:t>；</w:t>
      </w:r>
    </w:p>
    <w:p w14:paraId="6DC7011D">
      <w:pPr>
        <w:spacing w:before="153" w:line="220" w:lineRule="auto"/>
        <w:ind w:left="485"/>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雪体厚度不得小于</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900mm</w:t>
      </w:r>
      <w:r>
        <w:rPr>
          <w:rFonts w:ascii="宋体" w:hAnsi="宋体" w:eastAsia="宋体" w:cs="宋体"/>
          <w:spacing w:val="-2"/>
          <w:sz w:val="24"/>
          <w:szCs w:val="24"/>
        </w:rPr>
        <w:t>，并应按设计密度值要求分层夯实。</w:t>
      </w:r>
    </w:p>
    <w:p w14:paraId="4BDB6D2F">
      <w:pPr>
        <w:spacing w:before="155"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4.3.9    </w:t>
      </w:r>
      <w:r>
        <w:rPr>
          <w:rFonts w:ascii="宋体" w:hAnsi="宋体" w:eastAsia="宋体" w:cs="宋体"/>
          <w:spacing w:val="-2"/>
          <w:sz w:val="24"/>
          <w:szCs w:val="24"/>
        </w:rPr>
        <w:t>冰、雪活动项目类设计应符合下列</w:t>
      </w:r>
      <w:r>
        <w:rPr>
          <w:rFonts w:ascii="宋体" w:hAnsi="宋体" w:eastAsia="宋体" w:cs="宋体"/>
          <w:spacing w:val="-3"/>
          <w:sz w:val="24"/>
          <w:szCs w:val="24"/>
        </w:rPr>
        <w:t>规定：</w:t>
      </w:r>
    </w:p>
    <w:p w14:paraId="2651655D">
      <w:pPr>
        <w:spacing w:before="156" w:line="278" w:lineRule="auto"/>
        <w:ind w:left="5" w:firstLine="498"/>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冰、雪攀爬活动项目高度超过</w:t>
      </w:r>
      <w:r>
        <w:rPr>
          <w:rFonts w:ascii="宋体" w:hAnsi="宋体" w:eastAsia="宋体" w:cs="宋体"/>
          <w:spacing w:val="-34"/>
          <w:sz w:val="24"/>
          <w:szCs w:val="24"/>
        </w:rPr>
        <w:t xml:space="preserve"> </w:t>
      </w:r>
      <w:r>
        <w:rPr>
          <w:rFonts w:ascii="Times New Roman" w:hAnsi="Times New Roman" w:eastAsia="Times New Roman" w:cs="Times New Roman"/>
          <w:spacing w:val="-2"/>
          <w:sz w:val="24"/>
          <w:szCs w:val="24"/>
        </w:rPr>
        <w:t>5m</w:t>
      </w:r>
      <w:r>
        <w:rPr>
          <w:rFonts w:ascii="Times New Roman" w:hAnsi="Times New Roman" w:eastAsia="Times New Roman" w:cs="Times New Roman"/>
          <w:spacing w:val="21"/>
          <w:sz w:val="24"/>
          <w:szCs w:val="24"/>
        </w:rPr>
        <w:t xml:space="preserve"> </w:t>
      </w:r>
      <w:r>
        <w:rPr>
          <w:rFonts w:ascii="宋体" w:hAnsi="宋体" w:eastAsia="宋体" w:cs="宋体"/>
          <w:spacing w:val="-2"/>
          <w:sz w:val="24"/>
          <w:szCs w:val="24"/>
        </w:rPr>
        <w:t>时，应采取安全攀登防护措施，并应提供或安</w:t>
      </w:r>
      <w:r>
        <w:rPr>
          <w:rFonts w:ascii="宋体" w:hAnsi="宋体" w:eastAsia="宋体" w:cs="宋体"/>
          <w:sz w:val="24"/>
          <w:szCs w:val="24"/>
        </w:rPr>
        <w:t xml:space="preserve"> </w:t>
      </w:r>
      <w:r>
        <w:rPr>
          <w:rFonts w:ascii="宋体" w:hAnsi="宋体" w:eastAsia="宋体" w:cs="宋体"/>
          <w:spacing w:val="-1"/>
          <w:sz w:val="24"/>
          <w:szCs w:val="24"/>
        </w:rPr>
        <w:t>装经安全测试合格的攀登辅助工具，顶部应设安全维护设施</w:t>
      </w:r>
      <w:r>
        <w:rPr>
          <w:rFonts w:ascii="宋体" w:hAnsi="宋体" w:eastAsia="宋体" w:cs="宋体"/>
          <w:spacing w:val="-2"/>
          <w:sz w:val="24"/>
          <w:szCs w:val="24"/>
        </w:rPr>
        <w:t>、疏散平台和通道。</w:t>
      </w:r>
    </w:p>
    <w:p w14:paraId="2E9B166E">
      <w:pPr>
        <w:spacing w:before="155" w:line="220"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冰、雪滑梯的滑道应平坦、流畅，并应符合</w:t>
      </w:r>
      <w:r>
        <w:rPr>
          <w:rFonts w:ascii="宋体" w:hAnsi="宋体" w:eastAsia="宋体" w:cs="宋体"/>
          <w:spacing w:val="-3"/>
          <w:sz w:val="24"/>
          <w:szCs w:val="24"/>
        </w:rPr>
        <w:t>下列规定：</w:t>
      </w:r>
    </w:p>
    <w:p w14:paraId="59D38E07">
      <w:pPr>
        <w:spacing w:before="155" w:line="279" w:lineRule="auto"/>
        <w:ind w:left="4" w:right="171" w:firstLine="499"/>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）直线滑道宽度不应小于</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500mm</w:t>
      </w:r>
      <w:r>
        <w:rPr>
          <w:rFonts w:ascii="宋体" w:hAnsi="宋体" w:eastAsia="宋体" w:cs="宋体"/>
          <w:spacing w:val="-2"/>
          <w:sz w:val="24"/>
          <w:szCs w:val="24"/>
        </w:rPr>
        <w:t>，曲线滑道宽度不应小于</w:t>
      </w:r>
      <w:r>
        <w:rPr>
          <w:rFonts w:ascii="宋体" w:hAnsi="宋体" w:eastAsia="宋体" w:cs="宋体"/>
          <w:spacing w:val="-35"/>
          <w:sz w:val="24"/>
          <w:szCs w:val="24"/>
        </w:rPr>
        <w:t xml:space="preserve"> </w:t>
      </w:r>
      <w:r>
        <w:rPr>
          <w:rFonts w:ascii="Times New Roman" w:hAnsi="Times New Roman" w:eastAsia="Times New Roman" w:cs="Times New Roman"/>
          <w:spacing w:val="-2"/>
          <w:sz w:val="24"/>
          <w:szCs w:val="24"/>
        </w:rPr>
        <w:t>600mm</w:t>
      </w:r>
      <w:r>
        <w:rPr>
          <w:rFonts w:ascii="宋体" w:hAnsi="宋体" w:eastAsia="宋体" w:cs="宋体"/>
          <w:spacing w:val="-2"/>
          <w:sz w:val="24"/>
          <w:szCs w:val="24"/>
        </w:rPr>
        <w:t>；滑道护栏高</w:t>
      </w:r>
      <w:r>
        <w:rPr>
          <w:rFonts w:ascii="宋体" w:hAnsi="宋体" w:eastAsia="宋体" w:cs="宋体"/>
          <w:sz w:val="24"/>
          <w:szCs w:val="24"/>
        </w:rPr>
        <w:t xml:space="preserve"> </w:t>
      </w:r>
      <w:r>
        <w:rPr>
          <w:rFonts w:ascii="宋体" w:hAnsi="宋体" w:eastAsia="宋体" w:cs="宋体"/>
          <w:spacing w:val="-2"/>
          <w:sz w:val="24"/>
          <w:szCs w:val="24"/>
        </w:rPr>
        <w:t>度不应低于</w:t>
      </w:r>
      <w:r>
        <w:rPr>
          <w:rFonts w:ascii="宋体" w:hAnsi="宋体" w:eastAsia="宋体" w:cs="宋体"/>
          <w:spacing w:val="-43"/>
          <w:sz w:val="24"/>
          <w:szCs w:val="24"/>
        </w:rPr>
        <w:t xml:space="preserve"> </w:t>
      </w:r>
      <w:r>
        <w:rPr>
          <w:rFonts w:ascii="Times New Roman" w:hAnsi="Times New Roman" w:eastAsia="Times New Roman" w:cs="Times New Roman"/>
          <w:spacing w:val="-2"/>
          <w:sz w:val="24"/>
          <w:szCs w:val="24"/>
        </w:rPr>
        <w:t>500mm</w:t>
      </w:r>
      <w:r>
        <w:rPr>
          <w:rFonts w:ascii="宋体" w:hAnsi="宋体" w:eastAsia="宋体" w:cs="宋体"/>
          <w:spacing w:val="-2"/>
          <w:sz w:val="24"/>
          <w:szCs w:val="24"/>
        </w:rPr>
        <w:t>，厚度不应小于</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250mm</w:t>
      </w:r>
      <w:r>
        <w:rPr>
          <w:rFonts w:ascii="宋体" w:hAnsi="宋体" w:eastAsia="宋体" w:cs="宋体"/>
          <w:spacing w:val="-2"/>
          <w:sz w:val="24"/>
          <w:szCs w:val="24"/>
        </w:rPr>
        <w:t>；</w:t>
      </w:r>
    </w:p>
    <w:p w14:paraId="50F7B6F2">
      <w:pPr>
        <w:spacing w:before="154" w:line="299" w:lineRule="auto"/>
        <w:ind w:left="4" w:right="187" w:firstLine="476"/>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）转弯处滑道应进行加高加固处理，曲线部分护栏高度不应小于</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700mm</w:t>
      </w:r>
      <w:r>
        <w:rPr>
          <w:rFonts w:ascii="宋体" w:hAnsi="宋体" w:eastAsia="宋体" w:cs="宋体"/>
          <w:spacing w:val="-1"/>
          <w:sz w:val="24"/>
          <w:szCs w:val="24"/>
        </w:rPr>
        <w:t>，并应</w:t>
      </w:r>
      <w:r>
        <w:rPr>
          <w:rFonts w:ascii="宋体" w:hAnsi="宋体" w:eastAsia="宋体" w:cs="宋体"/>
          <w:sz w:val="24"/>
          <w:szCs w:val="24"/>
        </w:rPr>
        <w:t xml:space="preserve"> 在转弯坡度变化区域，设警示标志，在坡道终端应设缓冲道，</w:t>
      </w:r>
      <w:r>
        <w:rPr>
          <w:rFonts w:ascii="宋体" w:hAnsi="宋体" w:eastAsia="宋体" w:cs="宋体"/>
          <w:spacing w:val="-1"/>
          <w:sz w:val="24"/>
          <w:szCs w:val="24"/>
        </w:rPr>
        <w:t>缓冲道长度应通过计算</w:t>
      </w:r>
      <w:r>
        <w:rPr>
          <w:rFonts w:ascii="宋体" w:hAnsi="宋体" w:eastAsia="宋体" w:cs="宋体"/>
          <w:sz w:val="24"/>
          <w:szCs w:val="24"/>
        </w:rPr>
        <w:t xml:space="preserve"> </w:t>
      </w:r>
      <w:r>
        <w:rPr>
          <w:rFonts w:ascii="宋体" w:hAnsi="宋体" w:eastAsia="宋体" w:cs="宋体"/>
          <w:spacing w:val="-4"/>
          <w:sz w:val="24"/>
          <w:szCs w:val="24"/>
        </w:rPr>
        <w:t>或现场试验确定，终点处应设防护设施；</w:t>
      </w:r>
    </w:p>
    <w:p w14:paraId="32BC26AB">
      <w:pPr>
        <w:spacing w:before="153" w:line="278" w:lineRule="auto"/>
        <w:ind w:left="5" w:firstLine="480"/>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）滑道长度超过</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30m</w:t>
      </w:r>
      <w:r>
        <w:rPr>
          <w:rFonts w:ascii="Times New Roman" w:hAnsi="Times New Roman" w:eastAsia="Times New Roman" w:cs="Times New Roman"/>
          <w:spacing w:val="29"/>
          <w:w w:val="101"/>
          <w:sz w:val="24"/>
          <w:szCs w:val="24"/>
        </w:rPr>
        <w:t xml:space="preserve"> </w:t>
      </w:r>
      <w:r>
        <w:rPr>
          <w:rFonts w:ascii="宋体" w:hAnsi="宋体" w:eastAsia="宋体" w:cs="宋体"/>
          <w:spacing w:val="-1"/>
          <w:sz w:val="24"/>
          <w:szCs w:val="24"/>
        </w:rPr>
        <w:t>的滑梯类活动，应采用下滑工</w:t>
      </w:r>
      <w:r>
        <w:rPr>
          <w:rFonts w:ascii="宋体" w:hAnsi="宋体" w:eastAsia="宋体" w:cs="宋体"/>
          <w:spacing w:val="-2"/>
          <w:sz w:val="24"/>
          <w:szCs w:val="24"/>
        </w:rPr>
        <w:t>具；采用下滑工具的滑道平均</w:t>
      </w:r>
      <w:r>
        <w:rPr>
          <w:rFonts w:ascii="宋体" w:hAnsi="宋体" w:eastAsia="宋体" w:cs="宋体"/>
          <w:sz w:val="24"/>
          <w:szCs w:val="24"/>
        </w:rPr>
        <w:t xml:space="preserve"> </w:t>
      </w:r>
      <w:r>
        <w:rPr>
          <w:rFonts w:ascii="宋体" w:hAnsi="宋体" w:eastAsia="宋体" w:cs="宋体"/>
          <w:spacing w:val="3"/>
          <w:sz w:val="24"/>
          <w:szCs w:val="24"/>
        </w:rPr>
        <w:t>坡度不应大于</w:t>
      </w:r>
      <w:r>
        <w:rPr>
          <w:rFonts w:ascii="宋体" w:hAnsi="宋体" w:eastAsia="宋体" w:cs="宋体"/>
          <w:spacing w:val="-24"/>
          <w:sz w:val="24"/>
          <w:szCs w:val="24"/>
        </w:rPr>
        <w:t xml:space="preserve"> </w:t>
      </w:r>
      <w:r>
        <w:rPr>
          <w:rFonts w:ascii="Times New Roman" w:hAnsi="Times New Roman" w:eastAsia="Times New Roman" w:cs="Times New Roman"/>
          <w:spacing w:val="3"/>
          <w:sz w:val="24"/>
          <w:szCs w:val="24"/>
        </w:rPr>
        <w:t>10</w:t>
      </w:r>
      <w:r>
        <w:rPr>
          <w:rFonts w:ascii="宋体" w:hAnsi="宋体" w:eastAsia="宋体" w:cs="宋体"/>
          <w:spacing w:val="3"/>
          <w:sz w:val="24"/>
          <w:szCs w:val="24"/>
        </w:rPr>
        <w:t>°,不采用下滑工具的滑道平均坡度不应大于</w:t>
      </w:r>
      <w:r>
        <w:rPr>
          <w:rFonts w:ascii="Times New Roman" w:hAnsi="Times New Roman" w:eastAsia="Times New Roman" w:cs="Times New Roman"/>
          <w:spacing w:val="3"/>
          <w:sz w:val="24"/>
          <w:szCs w:val="24"/>
        </w:rPr>
        <w:t>25</w:t>
      </w:r>
      <w:r>
        <w:rPr>
          <w:rFonts w:ascii="宋体" w:hAnsi="宋体" w:eastAsia="宋体" w:cs="宋体"/>
          <w:spacing w:val="3"/>
          <w:sz w:val="24"/>
          <w:szCs w:val="24"/>
        </w:rPr>
        <w:t>°;</w:t>
      </w:r>
    </w:p>
    <w:p w14:paraId="56557AFA">
      <w:pPr>
        <w:spacing w:line="278" w:lineRule="auto"/>
        <w:rPr>
          <w:rFonts w:ascii="宋体" w:hAnsi="宋体" w:eastAsia="宋体" w:cs="宋体"/>
          <w:sz w:val="24"/>
          <w:szCs w:val="24"/>
        </w:rPr>
        <w:sectPr>
          <w:footerReference r:id="rId36" w:type="default"/>
          <w:pgSz w:w="11907" w:h="16839"/>
          <w:pgMar w:top="400" w:right="1421" w:bottom="743" w:left="1421" w:header="0" w:footer="582" w:gutter="0"/>
          <w:cols w:space="720" w:num="1"/>
        </w:sectPr>
      </w:pPr>
    </w:p>
    <w:p w14:paraId="4EF8D65B">
      <w:pPr>
        <w:pStyle w:val="2"/>
        <w:spacing w:line="303" w:lineRule="auto"/>
      </w:pPr>
    </w:p>
    <w:p w14:paraId="4B6C351D">
      <w:pPr>
        <w:pStyle w:val="2"/>
        <w:spacing w:line="303" w:lineRule="auto"/>
      </w:pPr>
    </w:p>
    <w:p w14:paraId="6B37C597">
      <w:pPr>
        <w:pStyle w:val="2"/>
        <w:spacing w:line="304" w:lineRule="auto"/>
      </w:pPr>
    </w:p>
    <w:p w14:paraId="3B7CCDFC">
      <w:pPr>
        <w:spacing w:before="78" w:line="338" w:lineRule="auto"/>
        <w:ind w:left="10" w:right="67" w:firstLine="469"/>
        <w:rPr>
          <w:rFonts w:ascii="宋体" w:hAnsi="宋体" w:eastAsia="宋体" w:cs="宋体"/>
          <w:sz w:val="24"/>
          <w:szCs w:val="24"/>
        </w:rPr>
      </w:pPr>
      <w:r>
        <w:rPr>
          <w:rFonts w:ascii="Times New Roman" w:hAnsi="Times New Roman" w:eastAsia="Times New Roman" w:cs="Times New Roman"/>
          <w:sz w:val="24"/>
          <w:szCs w:val="24"/>
        </w:rPr>
        <w:t>4</w:t>
      </w:r>
      <w:r>
        <w:rPr>
          <w:rFonts w:ascii="宋体" w:hAnsi="宋体" w:eastAsia="宋体" w:cs="宋体"/>
          <w:sz w:val="24"/>
          <w:szCs w:val="24"/>
        </w:rPr>
        <w:t>）下滑工具应形体圆滑，选用摩擦系数小、坚固、耐用、轻质材料制</w:t>
      </w:r>
      <w:r>
        <w:rPr>
          <w:rFonts w:ascii="宋体" w:hAnsi="宋体" w:eastAsia="宋体" w:cs="宋体"/>
          <w:spacing w:val="-1"/>
          <w:sz w:val="24"/>
          <w:szCs w:val="24"/>
        </w:rPr>
        <w:t>作，并应经</w:t>
      </w:r>
      <w:r>
        <w:rPr>
          <w:rFonts w:ascii="宋体" w:hAnsi="宋体" w:eastAsia="宋体" w:cs="宋体"/>
          <w:sz w:val="24"/>
          <w:szCs w:val="24"/>
        </w:rPr>
        <w:t xml:space="preserve"> </w:t>
      </w:r>
      <w:r>
        <w:rPr>
          <w:rFonts w:ascii="宋体" w:hAnsi="宋体" w:eastAsia="宋体" w:cs="宋体"/>
          <w:spacing w:val="-5"/>
          <w:sz w:val="24"/>
          <w:szCs w:val="24"/>
        </w:rPr>
        <w:t>安全测试合格方可使用。</w:t>
      </w:r>
    </w:p>
    <w:p w14:paraId="5A97EBD2">
      <w:pPr>
        <w:spacing w:line="219" w:lineRule="auto"/>
        <w:ind w:left="486"/>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溜冰、滑雪等项目设计应符合滑冰场、滑雪场的相关规定。</w:t>
      </w:r>
    </w:p>
    <w:p w14:paraId="6F903330">
      <w:pPr>
        <w:spacing w:before="154" w:line="279" w:lineRule="auto"/>
        <w:ind w:left="4" w:right="187" w:firstLine="475"/>
        <w:rPr>
          <w:rFonts w:ascii="宋体" w:hAnsi="宋体" w:eastAsia="宋体" w:cs="宋体"/>
          <w:sz w:val="24"/>
          <w:szCs w:val="24"/>
        </w:rPr>
      </w:pPr>
      <w:r>
        <w:rPr>
          <w:rFonts w:ascii="Times New Roman" w:hAnsi="Times New Roman" w:eastAsia="Times New Roman" w:cs="Times New Roman"/>
          <w:sz w:val="24"/>
          <w:szCs w:val="24"/>
        </w:rPr>
        <w:t xml:space="preserve">4  </w:t>
      </w:r>
      <w:r>
        <w:rPr>
          <w:rFonts w:ascii="宋体" w:hAnsi="宋体" w:eastAsia="宋体" w:cs="宋体"/>
          <w:sz w:val="24"/>
          <w:szCs w:val="24"/>
        </w:rPr>
        <w:t>利用冰、雪自行车，雪地摩托车，冰、雪碰碰车等进行特殊游乐活</w:t>
      </w:r>
      <w:r>
        <w:rPr>
          <w:rFonts w:ascii="宋体" w:hAnsi="宋体" w:eastAsia="宋体" w:cs="宋体"/>
          <w:spacing w:val="-1"/>
          <w:sz w:val="24"/>
          <w:szCs w:val="24"/>
        </w:rPr>
        <w:t>动的工具应</w:t>
      </w:r>
      <w:r>
        <w:rPr>
          <w:rFonts w:ascii="宋体" w:hAnsi="宋体" w:eastAsia="宋体" w:cs="宋体"/>
          <w:sz w:val="24"/>
          <w:szCs w:val="24"/>
        </w:rPr>
        <w:t xml:space="preserve"> </w:t>
      </w:r>
      <w:r>
        <w:rPr>
          <w:rFonts w:ascii="宋体" w:hAnsi="宋体" w:eastAsia="宋体" w:cs="宋体"/>
          <w:spacing w:val="-2"/>
          <w:sz w:val="24"/>
          <w:szCs w:val="24"/>
        </w:rPr>
        <w:t>采用安全合格产品；场地应符合设计要求，且应设计安全防护设施。</w:t>
      </w:r>
    </w:p>
    <w:p w14:paraId="694B1625">
      <w:pPr>
        <w:spacing w:before="154"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4.4.4    </w:t>
      </w:r>
      <w:r>
        <w:rPr>
          <w:rFonts w:ascii="宋体" w:hAnsi="宋体" w:eastAsia="宋体" w:cs="宋体"/>
          <w:spacing w:val="-2"/>
          <w:sz w:val="24"/>
          <w:szCs w:val="24"/>
        </w:rPr>
        <w:t>冰景观建筑基础设计应符合</w:t>
      </w:r>
      <w:r>
        <w:rPr>
          <w:rFonts w:ascii="宋体" w:hAnsi="宋体" w:eastAsia="宋体" w:cs="宋体"/>
          <w:spacing w:val="-3"/>
          <w:sz w:val="24"/>
          <w:szCs w:val="24"/>
        </w:rPr>
        <w:t>下列规定：</w:t>
      </w:r>
    </w:p>
    <w:p w14:paraId="65560A60">
      <w:pPr>
        <w:spacing w:before="154" w:line="279" w:lineRule="auto"/>
        <w:ind w:left="5" w:right="232" w:firstLine="498"/>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高度大于</w:t>
      </w:r>
      <w:r>
        <w:rPr>
          <w:rFonts w:ascii="宋体" w:hAnsi="宋体" w:eastAsia="宋体" w:cs="宋体"/>
          <w:spacing w:val="-29"/>
          <w:sz w:val="24"/>
          <w:szCs w:val="24"/>
        </w:rPr>
        <w:t xml:space="preserve"> </w:t>
      </w:r>
      <w:r>
        <w:rPr>
          <w:rFonts w:ascii="Times New Roman" w:hAnsi="Times New Roman" w:eastAsia="Times New Roman" w:cs="Times New Roman"/>
          <w:spacing w:val="-3"/>
          <w:sz w:val="24"/>
          <w:szCs w:val="24"/>
        </w:rPr>
        <w:t>10m</w:t>
      </w:r>
      <w:r>
        <w:rPr>
          <w:rFonts w:ascii="宋体" w:hAnsi="宋体" w:eastAsia="宋体" w:cs="宋体"/>
          <w:spacing w:val="-3"/>
          <w:sz w:val="24"/>
          <w:szCs w:val="24"/>
        </w:rPr>
        <w:t>，落地短边长度大于</w:t>
      </w:r>
      <w:r>
        <w:rPr>
          <w:rFonts w:ascii="宋体" w:hAnsi="宋体" w:eastAsia="宋体" w:cs="宋体"/>
          <w:spacing w:val="-35"/>
          <w:sz w:val="24"/>
          <w:szCs w:val="24"/>
        </w:rPr>
        <w:t xml:space="preserve"> </w:t>
      </w:r>
      <w:r>
        <w:rPr>
          <w:rFonts w:ascii="Times New Roman" w:hAnsi="Times New Roman" w:eastAsia="Times New Roman" w:cs="Times New Roman"/>
          <w:spacing w:val="-3"/>
          <w:sz w:val="24"/>
          <w:szCs w:val="24"/>
        </w:rPr>
        <w:t>6m</w:t>
      </w:r>
      <w:r>
        <w:rPr>
          <w:rFonts w:ascii="Times New Roman" w:hAnsi="Times New Roman" w:eastAsia="Times New Roman" w:cs="Times New Roman"/>
          <w:spacing w:val="29"/>
          <w:w w:val="101"/>
          <w:sz w:val="24"/>
          <w:szCs w:val="24"/>
        </w:rPr>
        <w:t xml:space="preserve"> </w:t>
      </w:r>
      <w:r>
        <w:rPr>
          <w:rFonts w:ascii="宋体" w:hAnsi="宋体" w:eastAsia="宋体" w:cs="宋体"/>
          <w:spacing w:val="-3"/>
          <w:sz w:val="24"/>
          <w:szCs w:val="24"/>
        </w:rPr>
        <w:t>的冰建筑应进行基础设计，地基承载力</w:t>
      </w:r>
      <w:r>
        <w:rPr>
          <w:rFonts w:ascii="宋体" w:hAnsi="宋体" w:eastAsia="宋体" w:cs="宋体"/>
          <w:sz w:val="24"/>
          <w:szCs w:val="24"/>
        </w:rPr>
        <w:t xml:space="preserve"> </w:t>
      </w:r>
      <w:r>
        <w:rPr>
          <w:rFonts w:ascii="宋体" w:hAnsi="宋体" w:eastAsia="宋体" w:cs="宋体"/>
          <w:spacing w:val="-2"/>
          <w:sz w:val="24"/>
          <w:szCs w:val="24"/>
        </w:rPr>
        <w:t>应按非冻土强度计算，且应考虑冰建筑周边土的冻胀因素。</w:t>
      </w:r>
    </w:p>
    <w:p w14:paraId="6F752DE7">
      <w:pPr>
        <w:spacing w:before="155" w:line="279" w:lineRule="auto"/>
        <w:ind w:left="5" w:right="187" w:firstLine="475"/>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软土或回填土地基不能满足设计要求时，应采取减小基底压力</w:t>
      </w:r>
      <w:r>
        <w:rPr>
          <w:rFonts w:ascii="宋体" w:hAnsi="宋体" w:eastAsia="宋体" w:cs="宋体"/>
          <w:spacing w:val="-1"/>
          <w:sz w:val="24"/>
          <w:szCs w:val="24"/>
        </w:rPr>
        <w:t>、提高冰砌体整</w:t>
      </w:r>
      <w:r>
        <w:rPr>
          <w:rFonts w:ascii="宋体" w:hAnsi="宋体" w:eastAsia="宋体" w:cs="宋体"/>
          <w:sz w:val="24"/>
          <w:szCs w:val="24"/>
        </w:rPr>
        <w:t xml:space="preserve"> </w:t>
      </w:r>
      <w:r>
        <w:rPr>
          <w:rFonts w:ascii="宋体" w:hAnsi="宋体" w:eastAsia="宋体" w:cs="宋体"/>
          <w:spacing w:val="-4"/>
          <w:sz w:val="24"/>
          <w:szCs w:val="24"/>
        </w:rPr>
        <w:t>体刚度和承载力的措施。</w:t>
      </w:r>
    </w:p>
    <w:p w14:paraId="22397C85">
      <w:pPr>
        <w:spacing w:before="154" w:line="279" w:lineRule="auto"/>
        <w:ind w:left="5" w:right="120" w:firstLine="48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对于高度大于</w:t>
      </w:r>
      <w:r>
        <w:rPr>
          <w:rFonts w:ascii="宋体" w:hAnsi="宋体" w:eastAsia="宋体" w:cs="宋体"/>
          <w:spacing w:val="-24"/>
          <w:sz w:val="24"/>
          <w:szCs w:val="24"/>
        </w:rPr>
        <w:t xml:space="preserve"> </w:t>
      </w:r>
      <w:r>
        <w:rPr>
          <w:rFonts w:ascii="Times New Roman" w:hAnsi="Times New Roman" w:eastAsia="Times New Roman" w:cs="Times New Roman"/>
          <w:spacing w:val="-2"/>
          <w:sz w:val="24"/>
          <w:szCs w:val="24"/>
        </w:rPr>
        <w:t>10m</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的冰建筑基础，不能满足天然地基设计条件时，应采用水浇</w:t>
      </w:r>
      <w:r>
        <w:rPr>
          <w:rFonts w:ascii="宋体" w:hAnsi="宋体" w:eastAsia="宋体" w:cs="宋体"/>
          <w:sz w:val="24"/>
          <w:szCs w:val="24"/>
        </w:rPr>
        <w:t xml:space="preserve"> </w:t>
      </w:r>
      <w:r>
        <w:rPr>
          <w:rFonts w:ascii="宋体" w:hAnsi="宋体" w:eastAsia="宋体" w:cs="宋体"/>
          <w:spacing w:val="-1"/>
          <w:sz w:val="24"/>
          <w:szCs w:val="24"/>
        </w:rPr>
        <w:t>冻土地基等加固措施进行地基处理。处理后的地基</w:t>
      </w:r>
      <w:r>
        <w:rPr>
          <w:rFonts w:ascii="宋体" w:hAnsi="宋体" w:eastAsia="宋体" w:cs="宋体"/>
          <w:spacing w:val="-2"/>
          <w:sz w:val="24"/>
          <w:szCs w:val="24"/>
        </w:rPr>
        <w:t>承载力应达到设计要求。</w:t>
      </w:r>
    </w:p>
    <w:p w14:paraId="43AD5EBE">
      <w:pPr>
        <w:spacing w:before="156" w:line="279" w:lineRule="auto"/>
        <w:ind w:left="10" w:right="359" w:hanging="3"/>
        <w:rPr>
          <w:rFonts w:ascii="宋体" w:hAnsi="宋体" w:eastAsia="宋体" w:cs="宋体"/>
          <w:sz w:val="24"/>
          <w:szCs w:val="24"/>
        </w:rPr>
      </w:pPr>
      <w:r>
        <w:rPr>
          <w:rFonts w:ascii="Times New Roman" w:hAnsi="Times New Roman" w:eastAsia="Times New Roman" w:cs="Times New Roman"/>
          <w:spacing w:val="-1"/>
          <w:sz w:val="24"/>
          <w:szCs w:val="24"/>
        </w:rPr>
        <w:t xml:space="preserve">5.1.3    </w:t>
      </w:r>
      <w:r>
        <w:rPr>
          <w:rFonts w:ascii="宋体" w:hAnsi="宋体" w:eastAsia="宋体" w:cs="宋体"/>
          <w:spacing w:val="-1"/>
          <w:sz w:val="24"/>
          <w:szCs w:val="24"/>
        </w:rPr>
        <w:t>建筑高度超过</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30m</w:t>
      </w:r>
      <w:r>
        <w:rPr>
          <w:rFonts w:ascii="Times New Roman" w:hAnsi="Times New Roman" w:eastAsia="Times New Roman" w:cs="Times New Roman"/>
          <w:spacing w:val="30"/>
          <w:sz w:val="24"/>
          <w:szCs w:val="24"/>
        </w:rPr>
        <w:t xml:space="preserve"> </w:t>
      </w:r>
      <w:r>
        <w:rPr>
          <w:rFonts w:ascii="宋体" w:hAnsi="宋体" w:eastAsia="宋体" w:cs="宋体"/>
          <w:spacing w:val="-1"/>
          <w:sz w:val="24"/>
          <w:szCs w:val="24"/>
        </w:rPr>
        <w:t>的冰建筑，施工期内应按现行行业标</w:t>
      </w:r>
      <w:r>
        <w:rPr>
          <w:rFonts w:ascii="宋体" w:hAnsi="宋体" w:eastAsia="宋体" w:cs="宋体"/>
          <w:spacing w:val="-2"/>
          <w:sz w:val="24"/>
          <w:szCs w:val="24"/>
        </w:rPr>
        <w:t>准《建筑变形测量规</w:t>
      </w:r>
      <w:r>
        <w:rPr>
          <w:rFonts w:ascii="宋体" w:hAnsi="宋体" w:eastAsia="宋体" w:cs="宋体"/>
          <w:sz w:val="24"/>
          <w:szCs w:val="24"/>
        </w:rPr>
        <w:t xml:space="preserve"> </w:t>
      </w:r>
      <w:r>
        <w:rPr>
          <w:rFonts w:ascii="宋体" w:hAnsi="宋体" w:eastAsia="宋体" w:cs="宋体"/>
          <w:spacing w:val="-4"/>
          <w:sz w:val="24"/>
          <w:szCs w:val="24"/>
        </w:rPr>
        <w:t>范》</w:t>
      </w:r>
      <w:r>
        <w:rPr>
          <w:rFonts w:ascii="Times New Roman" w:hAnsi="Times New Roman" w:eastAsia="Times New Roman" w:cs="Times New Roman"/>
          <w:spacing w:val="-4"/>
          <w:sz w:val="24"/>
          <w:szCs w:val="24"/>
        </w:rPr>
        <w:t>JGJ/T8</w:t>
      </w:r>
      <w:r>
        <w:rPr>
          <w:rFonts w:ascii="Times New Roman" w:hAnsi="Times New Roman" w:eastAsia="Times New Roman" w:cs="Times New Roman"/>
          <w:spacing w:val="45"/>
          <w:sz w:val="24"/>
          <w:szCs w:val="24"/>
        </w:rPr>
        <w:t xml:space="preserve"> </w:t>
      </w:r>
      <w:r>
        <w:rPr>
          <w:rFonts w:ascii="宋体" w:hAnsi="宋体" w:eastAsia="宋体" w:cs="宋体"/>
          <w:spacing w:val="-4"/>
          <w:sz w:val="24"/>
          <w:szCs w:val="24"/>
        </w:rPr>
        <w:t>的有关规定进行沉降和变形观测。</w:t>
      </w:r>
    </w:p>
    <w:p w14:paraId="5E6CBC64">
      <w:pPr>
        <w:spacing w:before="153"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5.4.3    </w:t>
      </w:r>
      <w:r>
        <w:rPr>
          <w:rFonts w:ascii="宋体" w:hAnsi="宋体" w:eastAsia="宋体" w:cs="宋体"/>
          <w:spacing w:val="-1"/>
          <w:sz w:val="24"/>
          <w:szCs w:val="24"/>
        </w:rPr>
        <w:t>冰建筑承重墙、柱必须坐落在实体地基上，严禁</w:t>
      </w:r>
      <w:r>
        <w:rPr>
          <w:rFonts w:ascii="宋体" w:hAnsi="宋体" w:eastAsia="宋体" w:cs="宋体"/>
          <w:spacing w:val="-2"/>
          <w:sz w:val="24"/>
          <w:szCs w:val="24"/>
        </w:rPr>
        <w:t>坐落在碎冰层上。</w:t>
      </w:r>
    </w:p>
    <w:p w14:paraId="4F060E4D">
      <w:pPr>
        <w:spacing w:before="154" w:line="279" w:lineRule="auto"/>
        <w:ind w:left="5" w:right="187" w:firstLine="2"/>
        <w:rPr>
          <w:rFonts w:ascii="宋体" w:hAnsi="宋体" w:eastAsia="宋体" w:cs="宋体"/>
          <w:sz w:val="24"/>
          <w:szCs w:val="24"/>
        </w:rPr>
      </w:pPr>
      <w:r>
        <w:rPr>
          <w:rFonts w:ascii="Times New Roman" w:hAnsi="Times New Roman" w:eastAsia="Times New Roman" w:cs="Times New Roman"/>
          <w:sz w:val="24"/>
          <w:szCs w:val="24"/>
        </w:rPr>
        <w:t xml:space="preserve">5.5.5    </w:t>
      </w:r>
      <w:r>
        <w:rPr>
          <w:rFonts w:ascii="宋体" w:hAnsi="宋体" w:eastAsia="宋体" w:cs="宋体"/>
          <w:sz w:val="24"/>
          <w:szCs w:val="24"/>
        </w:rPr>
        <w:t>施工期间，应对冰砌体进行温度监测。当冰体温</w:t>
      </w:r>
      <w:r>
        <w:rPr>
          <w:rFonts w:ascii="宋体" w:hAnsi="宋体" w:eastAsia="宋体" w:cs="宋体"/>
          <w:spacing w:val="-1"/>
          <w:sz w:val="24"/>
          <w:szCs w:val="24"/>
        </w:rPr>
        <w:t>度高于设计温度或砌筑水不能</w:t>
      </w:r>
      <w:r>
        <w:rPr>
          <w:rFonts w:ascii="宋体" w:hAnsi="宋体" w:eastAsia="宋体" w:cs="宋体"/>
          <w:sz w:val="24"/>
          <w:szCs w:val="24"/>
        </w:rPr>
        <w:t xml:space="preserve"> </w:t>
      </w:r>
      <w:r>
        <w:rPr>
          <w:rFonts w:ascii="宋体" w:hAnsi="宋体" w:eastAsia="宋体" w:cs="宋体"/>
          <w:spacing w:val="-1"/>
          <w:sz w:val="24"/>
          <w:szCs w:val="24"/>
        </w:rPr>
        <w:t>冻结时，应停止施工，并应采用遮光、防风材</w:t>
      </w:r>
      <w:r>
        <w:rPr>
          <w:rFonts w:ascii="宋体" w:hAnsi="宋体" w:eastAsia="宋体" w:cs="宋体"/>
          <w:spacing w:val="-2"/>
          <w:sz w:val="24"/>
          <w:szCs w:val="24"/>
        </w:rPr>
        <w:t>料遮挡等保护冰景的措施。</w:t>
      </w:r>
    </w:p>
    <w:p w14:paraId="43CCEAC0">
      <w:pPr>
        <w:spacing w:before="154" w:line="220" w:lineRule="auto"/>
        <w:ind w:left="7"/>
        <w:rPr>
          <w:rFonts w:ascii="宋体" w:hAnsi="宋体" w:eastAsia="宋体" w:cs="宋体"/>
          <w:sz w:val="24"/>
          <w:szCs w:val="24"/>
        </w:rPr>
      </w:pPr>
      <w:r>
        <w:rPr>
          <w:rFonts w:ascii="Times New Roman" w:hAnsi="Times New Roman" w:eastAsia="Times New Roman" w:cs="Times New Roman"/>
          <w:spacing w:val="-3"/>
          <w:sz w:val="24"/>
          <w:szCs w:val="24"/>
        </w:rPr>
        <w:t xml:space="preserve">5.5.7    </w:t>
      </w:r>
      <w:r>
        <w:rPr>
          <w:rFonts w:ascii="宋体" w:hAnsi="宋体" w:eastAsia="宋体" w:cs="宋体"/>
          <w:spacing w:val="-3"/>
          <w:sz w:val="24"/>
          <w:szCs w:val="24"/>
        </w:rPr>
        <w:t>冰砌体墙的砌筑应符合下列规定：</w:t>
      </w:r>
    </w:p>
    <w:p w14:paraId="4CB8D67A">
      <w:pPr>
        <w:spacing w:before="156" w:line="279" w:lineRule="auto"/>
        <w:ind w:left="5" w:firstLine="498"/>
        <w:rPr>
          <w:rFonts w:ascii="宋体" w:hAnsi="宋体" w:eastAsia="宋体" w:cs="宋体"/>
          <w:sz w:val="24"/>
          <w:szCs w:val="24"/>
        </w:rPr>
      </w:pPr>
      <w:r>
        <w:rPr>
          <w:rFonts w:ascii="Times New Roman" w:hAnsi="Times New Roman" w:eastAsia="Times New Roman" w:cs="Times New Roman"/>
          <w:spacing w:val="-3"/>
          <w:sz w:val="24"/>
          <w:szCs w:val="24"/>
        </w:rPr>
        <w:t>1</w:t>
      </w:r>
      <w:r>
        <w:rPr>
          <w:rFonts w:ascii="Times New Roman" w:hAnsi="Times New Roman" w:eastAsia="Times New Roman" w:cs="Times New Roman"/>
          <w:spacing w:val="23"/>
          <w:w w:val="101"/>
          <w:sz w:val="24"/>
          <w:szCs w:val="24"/>
        </w:rPr>
        <w:t xml:space="preserve">  </w:t>
      </w:r>
      <w:r>
        <w:rPr>
          <w:rFonts w:ascii="宋体" w:hAnsi="宋体" w:eastAsia="宋体" w:cs="宋体"/>
          <w:spacing w:val="-3"/>
          <w:sz w:val="24"/>
          <w:szCs w:val="24"/>
        </w:rPr>
        <w:t>内部采用碎冰填充的大体量冰建筑或冰景，当外侧冰墙高度大于</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6m</w:t>
      </w:r>
      <w:r>
        <w:rPr>
          <w:rFonts w:ascii="Times New Roman" w:hAnsi="Times New Roman" w:eastAsia="Times New Roman" w:cs="Times New Roman"/>
          <w:spacing w:val="21"/>
          <w:sz w:val="24"/>
          <w:szCs w:val="24"/>
        </w:rPr>
        <w:t xml:space="preserve"> </w:t>
      </w:r>
      <w:r>
        <w:rPr>
          <w:rFonts w:ascii="宋体" w:hAnsi="宋体" w:eastAsia="宋体" w:cs="宋体"/>
          <w:spacing w:val="-3"/>
          <w:sz w:val="24"/>
          <w:szCs w:val="24"/>
        </w:rPr>
        <w:t>时，冰墙组</w:t>
      </w:r>
      <w:r>
        <w:rPr>
          <w:rFonts w:ascii="宋体" w:hAnsi="宋体" w:eastAsia="宋体" w:cs="宋体"/>
          <w:sz w:val="24"/>
          <w:szCs w:val="24"/>
        </w:rPr>
        <w:t xml:space="preserve"> </w:t>
      </w:r>
      <w:r>
        <w:rPr>
          <w:rFonts w:ascii="宋体" w:hAnsi="宋体" w:eastAsia="宋体" w:cs="宋体"/>
          <w:spacing w:val="-2"/>
          <w:sz w:val="24"/>
          <w:szCs w:val="24"/>
        </w:rPr>
        <w:t>砌厚度不应小于</w:t>
      </w:r>
      <w:r>
        <w:rPr>
          <w:rFonts w:ascii="宋体" w:hAnsi="宋体" w:eastAsia="宋体" w:cs="宋体"/>
          <w:spacing w:val="-41"/>
          <w:sz w:val="24"/>
          <w:szCs w:val="24"/>
        </w:rPr>
        <w:t xml:space="preserve"> </w:t>
      </w:r>
      <w:r>
        <w:rPr>
          <w:rFonts w:ascii="Times New Roman" w:hAnsi="Times New Roman" w:eastAsia="Times New Roman" w:cs="Times New Roman"/>
          <w:spacing w:val="-2"/>
          <w:sz w:val="24"/>
          <w:szCs w:val="24"/>
        </w:rPr>
        <w:t>900mm</w:t>
      </w:r>
      <w:r>
        <w:rPr>
          <w:rFonts w:ascii="宋体" w:hAnsi="宋体" w:eastAsia="宋体" w:cs="宋体"/>
          <w:spacing w:val="-2"/>
          <w:sz w:val="24"/>
          <w:szCs w:val="24"/>
        </w:rPr>
        <w:t>，当外侧冰墙高度小于</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6m</w:t>
      </w:r>
      <w:r>
        <w:rPr>
          <w:rFonts w:ascii="Times New Roman" w:hAnsi="Times New Roman" w:eastAsia="Times New Roman" w:cs="Times New Roman"/>
          <w:spacing w:val="21"/>
          <w:w w:val="101"/>
          <w:sz w:val="24"/>
          <w:szCs w:val="24"/>
        </w:rPr>
        <w:t xml:space="preserve"> </w:t>
      </w:r>
      <w:r>
        <w:rPr>
          <w:rFonts w:ascii="宋体" w:hAnsi="宋体" w:eastAsia="宋体" w:cs="宋体"/>
          <w:spacing w:val="-2"/>
          <w:sz w:val="24"/>
          <w:szCs w:val="24"/>
        </w:rPr>
        <w:t>时，冰墙组砌厚度不应小于</w:t>
      </w:r>
    </w:p>
    <w:p w14:paraId="0DA99AD6">
      <w:pPr>
        <w:spacing w:before="153" w:line="220" w:lineRule="auto"/>
        <w:ind w:left="6"/>
        <w:rPr>
          <w:rFonts w:ascii="宋体" w:hAnsi="宋体" w:eastAsia="宋体" w:cs="宋体"/>
          <w:sz w:val="24"/>
          <w:szCs w:val="24"/>
        </w:rPr>
      </w:pPr>
      <w:r>
        <w:rPr>
          <w:rFonts w:ascii="Times New Roman" w:hAnsi="Times New Roman" w:eastAsia="Times New Roman" w:cs="Times New Roman"/>
          <w:spacing w:val="-4"/>
          <w:sz w:val="24"/>
          <w:szCs w:val="24"/>
        </w:rPr>
        <w:t>600mm</w:t>
      </w:r>
      <w:r>
        <w:rPr>
          <w:rFonts w:ascii="宋体" w:hAnsi="宋体" w:eastAsia="宋体" w:cs="宋体"/>
          <w:spacing w:val="-4"/>
          <w:sz w:val="24"/>
          <w:szCs w:val="24"/>
        </w:rPr>
        <w:t>，且应满足冰墙高厚比的要求；</w:t>
      </w:r>
    </w:p>
    <w:p w14:paraId="569C8000">
      <w:pPr>
        <w:spacing w:before="154" w:line="280" w:lineRule="auto"/>
        <w:ind w:left="5" w:firstLine="475"/>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冰砌体组砌上下皮冰块应上、下错缝，内外搭砌；错缝、搭砌长度应为</w:t>
      </w:r>
      <w:r>
        <w:rPr>
          <w:rFonts w:ascii="宋体" w:hAnsi="宋体" w:eastAsia="宋体" w:cs="宋体"/>
          <w:spacing w:val="-26"/>
          <w:sz w:val="24"/>
          <w:szCs w:val="24"/>
        </w:rPr>
        <w:t xml:space="preserve"> </w:t>
      </w:r>
      <w:r>
        <w:rPr>
          <w:rFonts w:ascii="Times New Roman" w:hAnsi="Times New Roman" w:eastAsia="Times New Roman" w:cs="Times New Roman"/>
          <w:spacing w:val="-1"/>
          <w:sz w:val="24"/>
          <w:szCs w:val="24"/>
        </w:rPr>
        <w:t xml:space="preserve">1/2 </w:t>
      </w:r>
      <w:r>
        <w:rPr>
          <w:rFonts w:ascii="宋体" w:hAnsi="宋体" w:eastAsia="宋体" w:cs="宋体"/>
          <w:spacing w:val="-1"/>
          <w:sz w:val="24"/>
          <w:szCs w:val="24"/>
        </w:rPr>
        <w:t>冰砌</w:t>
      </w:r>
      <w:r>
        <w:rPr>
          <w:rFonts w:ascii="宋体" w:hAnsi="宋体" w:eastAsia="宋体" w:cs="宋体"/>
          <w:sz w:val="24"/>
          <w:szCs w:val="24"/>
        </w:rPr>
        <w:t xml:space="preserve"> </w:t>
      </w:r>
      <w:r>
        <w:rPr>
          <w:rFonts w:ascii="宋体" w:hAnsi="宋体" w:eastAsia="宋体" w:cs="宋体"/>
          <w:spacing w:val="-3"/>
          <w:sz w:val="24"/>
          <w:szCs w:val="24"/>
        </w:rPr>
        <w:t>体长度，且不应小于</w:t>
      </w:r>
      <w:r>
        <w:rPr>
          <w:rFonts w:ascii="宋体" w:hAnsi="宋体" w:eastAsia="宋体" w:cs="宋体"/>
          <w:spacing w:val="-25"/>
          <w:sz w:val="24"/>
          <w:szCs w:val="24"/>
        </w:rPr>
        <w:t xml:space="preserve"> </w:t>
      </w:r>
      <w:r>
        <w:rPr>
          <w:rFonts w:ascii="Times New Roman" w:hAnsi="Times New Roman" w:eastAsia="Times New Roman" w:cs="Times New Roman"/>
          <w:spacing w:val="-3"/>
          <w:sz w:val="24"/>
          <w:szCs w:val="24"/>
        </w:rPr>
        <w:t>120mm</w:t>
      </w:r>
      <w:r>
        <w:rPr>
          <w:rFonts w:ascii="宋体" w:hAnsi="宋体" w:eastAsia="宋体" w:cs="宋体"/>
          <w:spacing w:val="-3"/>
          <w:sz w:val="24"/>
          <w:szCs w:val="24"/>
        </w:rPr>
        <w:t>；</w:t>
      </w:r>
    </w:p>
    <w:p w14:paraId="23139786">
      <w:pPr>
        <w:spacing w:before="153" w:line="279" w:lineRule="auto"/>
        <w:ind w:left="9" w:right="187" w:firstLine="476"/>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每皮冰块砌筑高度应一致，表面用刀锯划出注水线；</w:t>
      </w:r>
      <w:r>
        <w:rPr>
          <w:rFonts w:ascii="宋体" w:hAnsi="宋体" w:eastAsia="宋体" w:cs="宋体"/>
          <w:spacing w:val="-1"/>
          <w:sz w:val="24"/>
          <w:szCs w:val="24"/>
        </w:rPr>
        <w:t>冰砌体的水平缝及垂直缝</w:t>
      </w:r>
      <w:r>
        <w:rPr>
          <w:rFonts w:ascii="宋体" w:hAnsi="宋体" w:eastAsia="宋体" w:cs="宋体"/>
          <w:sz w:val="24"/>
          <w:szCs w:val="24"/>
        </w:rPr>
        <w:t xml:space="preserve"> </w:t>
      </w:r>
      <w:r>
        <w:rPr>
          <w:rFonts w:ascii="宋体" w:hAnsi="宋体" w:eastAsia="宋体" w:cs="宋体"/>
          <w:spacing w:val="-3"/>
          <w:sz w:val="24"/>
          <w:szCs w:val="24"/>
        </w:rPr>
        <w:t>不应大于</w:t>
      </w:r>
      <w:r>
        <w:rPr>
          <w:rFonts w:ascii="宋体" w:hAnsi="宋体" w:eastAsia="宋体" w:cs="宋体"/>
          <w:spacing w:val="-53"/>
          <w:sz w:val="24"/>
          <w:szCs w:val="24"/>
        </w:rPr>
        <w:t xml:space="preserve"> </w:t>
      </w:r>
      <w:r>
        <w:rPr>
          <w:rFonts w:ascii="Times New Roman" w:hAnsi="Times New Roman" w:eastAsia="Times New Roman" w:cs="Times New Roman"/>
          <w:spacing w:val="-3"/>
          <w:sz w:val="24"/>
          <w:szCs w:val="24"/>
        </w:rPr>
        <w:t>2mm</w:t>
      </w:r>
      <w:r>
        <w:rPr>
          <w:rFonts w:ascii="宋体" w:hAnsi="宋体" w:eastAsia="宋体" w:cs="宋体"/>
          <w:spacing w:val="-3"/>
          <w:sz w:val="24"/>
          <w:szCs w:val="24"/>
        </w:rPr>
        <w:t>，且应横平竖直，砌体表面光滑、平整；</w:t>
      </w:r>
    </w:p>
    <w:p w14:paraId="55735264">
      <w:pPr>
        <w:spacing w:before="154" w:line="279" w:lineRule="auto"/>
        <w:ind w:left="16" w:right="427" w:firstLine="463"/>
        <w:rPr>
          <w:rFonts w:ascii="宋体" w:hAnsi="宋体" w:eastAsia="宋体" w:cs="宋体"/>
          <w:sz w:val="24"/>
          <w:szCs w:val="24"/>
        </w:rPr>
      </w:pPr>
      <w:r>
        <w:rPr>
          <w:rFonts w:ascii="Times New Roman" w:hAnsi="Times New Roman" w:eastAsia="Times New Roman" w:cs="Times New Roman"/>
          <w:sz w:val="24"/>
          <w:szCs w:val="24"/>
        </w:rPr>
        <w:t xml:space="preserve">4  </w:t>
      </w:r>
      <w:r>
        <w:rPr>
          <w:rFonts w:ascii="宋体" w:hAnsi="宋体" w:eastAsia="宋体" w:cs="宋体"/>
          <w:sz w:val="24"/>
          <w:szCs w:val="24"/>
        </w:rPr>
        <w:t>单体冰景观建筑同一标高的冰砌体（墙）应连续同步砌筑；当不</w:t>
      </w:r>
      <w:r>
        <w:rPr>
          <w:rFonts w:ascii="宋体" w:hAnsi="宋体" w:eastAsia="宋体" w:cs="宋体"/>
          <w:spacing w:val="-1"/>
          <w:sz w:val="24"/>
          <w:szCs w:val="24"/>
        </w:rPr>
        <w:t>能同步砌筑</w:t>
      </w:r>
      <w:r>
        <w:rPr>
          <w:rFonts w:ascii="宋体" w:hAnsi="宋体" w:eastAsia="宋体" w:cs="宋体"/>
          <w:sz w:val="24"/>
          <w:szCs w:val="24"/>
        </w:rPr>
        <w:t xml:space="preserve"> </w:t>
      </w:r>
      <w:r>
        <w:rPr>
          <w:rFonts w:ascii="宋体" w:hAnsi="宋体" w:eastAsia="宋体" w:cs="宋体"/>
          <w:spacing w:val="-2"/>
          <w:sz w:val="24"/>
          <w:szCs w:val="24"/>
        </w:rPr>
        <w:t>时，应错缝留斜槎，留槎部位高差不应大于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1.5</w:t>
      </w:r>
      <w:r>
        <w:rPr>
          <w:rFonts w:ascii="Times New Roman" w:hAnsi="Times New Roman" w:eastAsia="Times New Roman" w:cs="Times New Roman"/>
          <w:spacing w:val="-3"/>
          <w:sz w:val="24"/>
          <w:szCs w:val="24"/>
        </w:rPr>
        <w:t>m</w:t>
      </w:r>
      <w:r>
        <w:rPr>
          <w:rFonts w:ascii="宋体" w:hAnsi="宋体" w:eastAsia="宋体" w:cs="宋体"/>
          <w:spacing w:val="-3"/>
          <w:sz w:val="24"/>
          <w:szCs w:val="24"/>
        </w:rPr>
        <w:t>。</w:t>
      </w:r>
    </w:p>
    <w:p w14:paraId="0FE2E535">
      <w:pPr>
        <w:spacing w:before="155" w:line="219"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5.6.4    </w:t>
      </w:r>
      <w:r>
        <w:rPr>
          <w:rFonts w:ascii="宋体" w:hAnsi="宋体" w:eastAsia="宋体" w:cs="宋体"/>
          <w:spacing w:val="-1"/>
          <w:sz w:val="24"/>
          <w:szCs w:val="24"/>
        </w:rPr>
        <w:t>冰建筑施工脚手架和垂直运输设备应独立搭设，不得</w:t>
      </w:r>
      <w:r>
        <w:rPr>
          <w:rFonts w:ascii="宋体" w:hAnsi="宋体" w:eastAsia="宋体" w:cs="宋体"/>
          <w:spacing w:val="-2"/>
          <w:sz w:val="24"/>
          <w:szCs w:val="24"/>
        </w:rPr>
        <w:t>与冰建筑接触。</w:t>
      </w:r>
    </w:p>
    <w:p w14:paraId="3317D59B">
      <w:pPr>
        <w:spacing w:before="203" w:line="225" w:lineRule="auto"/>
        <w:outlineLvl w:val="1"/>
        <w:rPr>
          <w:rFonts w:ascii="宋体" w:hAnsi="宋体" w:eastAsia="宋体" w:cs="宋体"/>
          <w:sz w:val="27"/>
          <w:szCs w:val="27"/>
        </w:rPr>
      </w:pPr>
      <w:bookmarkStart w:id="48" w:name="bookmark95"/>
      <w:bookmarkEnd w:id="48"/>
      <w:r>
        <w:rPr>
          <w:rFonts w:ascii="Times New Roman" w:hAnsi="Times New Roman" w:eastAsia="Times New Roman" w:cs="Times New Roman"/>
          <w:b/>
          <w:bCs/>
          <w:spacing w:val="6"/>
          <w:sz w:val="27"/>
          <w:szCs w:val="27"/>
        </w:rPr>
        <w:t>31.</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253-2011  </w:t>
      </w:r>
      <w:r>
        <w:rPr>
          <w:rFonts w:ascii="宋体" w:hAnsi="宋体" w:eastAsia="宋体" w:cs="宋体"/>
          <w:b/>
          <w:bCs/>
          <w:spacing w:val="6"/>
          <w:sz w:val="27"/>
          <w:szCs w:val="27"/>
        </w:rPr>
        <w:t>无机轻集料砂浆保温系统技术规程</w:t>
      </w:r>
    </w:p>
    <w:p w14:paraId="4FACF1F6">
      <w:pPr>
        <w:spacing w:before="288" w:line="338" w:lineRule="auto"/>
        <w:ind w:left="14" w:right="187" w:hanging="14"/>
        <w:rPr>
          <w:rFonts w:ascii="宋体" w:hAnsi="宋体" w:eastAsia="宋体" w:cs="宋体"/>
          <w:sz w:val="24"/>
          <w:szCs w:val="24"/>
        </w:rPr>
      </w:pPr>
      <w:r>
        <w:rPr>
          <w:rFonts w:ascii="Times New Roman" w:hAnsi="Times New Roman" w:eastAsia="Times New Roman" w:cs="Times New Roman"/>
          <w:sz w:val="24"/>
          <w:szCs w:val="24"/>
        </w:rPr>
        <w:t xml:space="preserve">4.1.1    </w:t>
      </w:r>
      <w:r>
        <w:rPr>
          <w:rFonts w:ascii="宋体" w:hAnsi="宋体" w:eastAsia="宋体" w:cs="宋体"/>
          <w:sz w:val="24"/>
          <w:szCs w:val="24"/>
        </w:rPr>
        <w:t>当无机轻集料砂浆保温系统用于外墙保温时，必须进行耐候性检验</w:t>
      </w:r>
      <w:r>
        <w:rPr>
          <w:rFonts w:ascii="宋体" w:hAnsi="宋体" w:eastAsia="宋体" w:cs="宋体"/>
          <w:spacing w:val="-1"/>
          <w:sz w:val="24"/>
          <w:szCs w:val="24"/>
        </w:rPr>
        <w:t>，耐候性性</w:t>
      </w:r>
      <w:r>
        <w:rPr>
          <w:rFonts w:ascii="宋体" w:hAnsi="宋体" w:eastAsia="宋体" w:cs="宋体"/>
          <w:sz w:val="24"/>
          <w:szCs w:val="24"/>
        </w:rPr>
        <w:t xml:space="preserve"> </w:t>
      </w:r>
      <w:r>
        <w:rPr>
          <w:rFonts w:ascii="宋体" w:hAnsi="宋体" w:eastAsia="宋体" w:cs="宋体"/>
          <w:spacing w:val="-7"/>
          <w:sz w:val="24"/>
          <w:szCs w:val="24"/>
        </w:rPr>
        <w:t>能必须符合下列规定：</w:t>
      </w:r>
    </w:p>
    <w:p w14:paraId="3DD7FDC0">
      <w:pPr>
        <w:spacing w:line="218" w:lineRule="auto"/>
        <w:ind w:left="504"/>
        <w:rPr>
          <w:rFonts w:ascii="宋体" w:hAnsi="宋体" w:eastAsia="宋体" w:cs="宋体"/>
          <w:sz w:val="24"/>
          <w:szCs w:val="24"/>
        </w:rPr>
      </w:pPr>
      <w:r>
        <w:rPr>
          <w:rFonts w:ascii="Times New Roman" w:hAnsi="Times New Roman" w:eastAsia="Times New Roman" w:cs="Times New Roman"/>
          <w:spacing w:val="12"/>
          <w:sz w:val="24"/>
          <w:szCs w:val="24"/>
        </w:rPr>
        <w:t xml:space="preserve">1  </w:t>
      </w:r>
      <w:r>
        <w:rPr>
          <w:rFonts w:ascii="宋体" w:hAnsi="宋体" w:eastAsia="宋体" w:cs="宋体"/>
          <w:spacing w:val="12"/>
          <w:sz w:val="24"/>
          <w:szCs w:val="24"/>
        </w:rPr>
        <w:t>涂料饰面经</w:t>
      </w:r>
      <w:r>
        <w:rPr>
          <w:rFonts w:ascii="宋体" w:hAnsi="宋体" w:eastAsia="宋体" w:cs="宋体"/>
          <w:spacing w:val="-45"/>
          <w:sz w:val="24"/>
          <w:szCs w:val="24"/>
        </w:rPr>
        <w:t xml:space="preserve"> </w:t>
      </w:r>
      <w:r>
        <w:rPr>
          <w:rFonts w:ascii="Times New Roman" w:hAnsi="Times New Roman" w:eastAsia="Times New Roman" w:cs="Times New Roman"/>
          <w:spacing w:val="12"/>
          <w:sz w:val="24"/>
          <w:szCs w:val="24"/>
        </w:rPr>
        <w:t xml:space="preserve">80 </w:t>
      </w:r>
      <w:r>
        <w:rPr>
          <w:rFonts w:ascii="宋体" w:hAnsi="宋体" w:eastAsia="宋体" w:cs="宋体"/>
          <w:spacing w:val="12"/>
          <w:sz w:val="24"/>
          <w:szCs w:val="24"/>
        </w:rPr>
        <w:t>次高温（</w:t>
      </w:r>
      <w:r>
        <w:rPr>
          <w:rFonts w:ascii="Times New Roman" w:hAnsi="Times New Roman" w:eastAsia="Times New Roman" w:cs="Times New Roman"/>
          <w:spacing w:val="12"/>
          <w:sz w:val="24"/>
          <w:szCs w:val="24"/>
        </w:rPr>
        <w:t>70</w:t>
      </w:r>
      <w:r>
        <w:rPr>
          <w:rFonts w:ascii="宋体" w:hAnsi="宋体" w:eastAsia="宋体" w:cs="宋体"/>
          <w:spacing w:val="12"/>
          <w:sz w:val="24"/>
          <w:szCs w:val="24"/>
        </w:rPr>
        <w:t>℃)、淋水（</w:t>
      </w:r>
      <w:r>
        <w:rPr>
          <w:rFonts w:ascii="Times New Roman" w:hAnsi="Times New Roman" w:eastAsia="Times New Roman" w:cs="Times New Roman"/>
          <w:spacing w:val="12"/>
          <w:sz w:val="24"/>
          <w:szCs w:val="24"/>
        </w:rPr>
        <w:t>15</w:t>
      </w:r>
      <w:r>
        <w:rPr>
          <w:rFonts w:ascii="宋体" w:hAnsi="宋体" w:eastAsia="宋体" w:cs="宋体"/>
          <w:spacing w:val="12"/>
          <w:sz w:val="24"/>
          <w:szCs w:val="24"/>
        </w:rPr>
        <w:t>℃)和</w:t>
      </w:r>
      <w:r>
        <w:rPr>
          <w:rFonts w:ascii="宋体" w:hAnsi="宋体" w:eastAsia="宋体" w:cs="宋体"/>
          <w:spacing w:val="-49"/>
          <w:sz w:val="24"/>
          <w:szCs w:val="24"/>
        </w:rPr>
        <w:t xml:space="preserve"> </w:t>
      </w:r>
      <w:r>
        <w:rPr>
          <w:rFonts w:ascii="Times New Roman" w:hAnsi="Times New Roman" w:eastAsia="Times New Roman" w:cs="Times New Roman"/>
          <w:spacing w:val="12"/>
          <w:sz w:val="24"/>
          <w:szCs w:val="24"/>
        </w:rPr>
        <w:t xml:space="preserve">5 </w:t>
      </w:r>
      <w:r>
        <w:rPr>
          <w:rFonts w:ascii="宋体" w:hAnsi="宋体" w:eastAsia="宋体" w:cs="宋体"/>
          <w:spacing w:val="12"/>
          <w:sz w:val="24"/>
          <w:szCs w:val="24"/>
        </w:rPr>
        <w:t>次加热（</w:t>
      </w:r>
      <w:r>
        <w:rPr>
          <w:rFonts w:ascii="Times New Roman" w:hAnsi="Times New Roman" w:eastAsia="Times New Roman" w:cs="Times New Roman"/>
          <w:spacing w:val="12"/>
          <w:sz w:val="24"/>
          <w:szCs w:val="24"/>
        </w:rPr>
        <w:t>50</w:t>
      </w:r>
      <w:r>
        <w:rPr>
          <w:rFonts w:ascii="宋体" w:hAnsi="宋体" w:eastAsia="宋体" w:cs="宋体"/>
          <w:spacing w:val="12"/>
          <w:sz w:val="24"/>
          <w:szCs w:val="24"/>
        </w:rPr>
        <w:t>℃)、冷</w:t>
      </w:r>
      <w:r>
        <w:rPr>
          <w:rFonts w:ascii="宋体" w:hAnsi="宋体" w:eastAsia="宋体" w:cs="宋体"/>
          <w:spacing w:val="11"/>
          <w:sz w:val="24"/>
          <w:szCs w:val="24"/>
        </w:rPr>
        <w:t>冻(-</w:t>
      </w:r>
    </w:p>
    <w:p w14:paraId="4F278173">
      <w:pPr>
        <w:spacing w:line="218" w:lineRule="auto"/>
        <w:rPr>
          <w:rFonts w:ascii="宋体" w:hAnsi="宋体" w:eastAsia="宋体" w:cs="宋体"/>
          <w:sz w:val="24"/>
          <w:szCs w:val="24"/>
        </w:rPr>
        <w:sectPr>
          <w:footerReference r:id="rId37" w:type="default"/>
          <w:pgSz w:w="11907" w:h="16839"/>
          <w:pgMar w:top="400" w:right="1422" w:bottom="743" w:left="1421" w:header="0" w:footer="582" w:gutter="0"/>
          <w:cols w:space="720" w:num="1"/>
        </w:sectPr>
      </w:pPr>
    </w:p>
    <w:p w14:paraId="4CC34CC6">
      <w:pPr>
        <w:pStyle w:val="2"/>
        <w:spacing w:line="303" w:lineRule="auto"/>
      </w:pPr>
    </w:p>
    <w:p w14:paraId="11B3B067">
      <w:pPr>
        <w:pStyle w:val="2"/>
        <w:spacing w:line="303" w:lineRule="auto"/>
      </w:pPr>
    </w:p>
    <w:p w14:paraId="377A1C9D">
      <w:pPr>
        <w:pStyle w:val="2"/>
        <w:spacing w:line="303" w:lineRule="auto"/>
      </w:pPr>
    </w:p>
    <w:p w14:paraId="604D2696">
      <w:pPr>
        <w:spacing w:before="78" w:line="220" w:lineRule="auto"/>
        <w:rPr>
          <w:rFonts w:ascii="宋体" w:hAnsi="宋体" w:eastAsia="宋体" w:cs="宋体"/>
          <w:sz w:val="24"/>
          <w:szCs w:val="24"/>
        </w:rPr>
      </w:pPr>
      <w:r>
        <w:rPr>
          <w:rFonts w:ascii="Times New Roman" w:hAnsi="Times New Roman" w:eastAsia="Times New Roman" w:cs="Times New Roman"/>
          <w:spacing w:val="4"/>
          <w:sz w:val="24"/>
          <w:szCs w:val="24"/>
        </w:rPr>
        <w:t>20</w:t>
      </w:r>
      <w:r>
        <w:rPr>
          <w:rFonts w:ascii="宋体" w:hAnsi="宋体" w:eastAsia="宋体" w:cs="宋体"/>
          <w:spacing w:val="4"/>
          <w:sz w:val="24"/>
          <w:szCs w:val="24"/>
        </w:rPr>
        <w:t>℃)循环后不得出现开裂、空鼓或脱落。</w:t>
      </w:r>
    </w:p>
    <w:p w14:paraId="481E4ACA">
      <w:pPr>
        <w:spacing w:before="154" w:line="279" w:lineRule="auto"/>
        <w:ind w:left="130" w:right="205" w:firstLine="349"/>
        <w:rPr>
          <w:rFonts w:ascii="宋体" w:hAnsi="宋体" w:eastAsia="宋体" w:cs="宋体"/>
          <w:sz w:val="24"/>
          <w:szCs w:val="24"/>
        </w:rPr>
      </w:pPr>
      <w:r>
        <w:rPr>
          <w:rFonts w:ascii="Times New Roman" w:hAnsi="Times New Roman" w:eastAsia="Times New Roman" w:cs="Times New Roman"/>
          <w:spacing w:val="10"/>
          <w:sz w:val="24"/>
          <w:szCs w:val="24"/>
        </w:rPr>
        <w:t xml:space="preserve">2  </w:t>
      </w:r>
      <w:r>
        <w:rPr>
          <w:rFonts w:ascii="宋体" w:hAnsi="宋体" w:eastAsia="宋体" w:cs="宋体"/>
          <w:spacing w:val="10"/>
          <w:sz w:val="24"/>
          <w:szCs w:val="24"/>
        </w:rPr>
        <w:t>面砖饰面经</w:t>
      </w:r>
      <w:r>
        <w:rPr>
          <w:rFonts w:ascii="宋体" w:hAnsi="宋体" w:eastAsia="宋体" w:cs="宋体"/>
          <w:spacing w:val="-46"/>
          <w:sz w:val="24"/>
          <w:szCs w:val="24"/>
        </w:rPr>
        <w:t xml:space="preserve"> </w:t>
      </w:r>
      <w:r>
        <w:rPr>
          <w:rFonts w:ascii="Times New Roman" w:hAnsi="Times New Roman" w:eastAsia="Times New Roman" w:cs="Times New Roman"/>
          <w:spacing w:val="10"/>
          <w:sz w:val="24"/>
          <w:szCs w:val="24"/>
        </w:rPr>
        <w:t xml:space="preserve">80 </w:t>
      </w:r>
      <w:r>
        <w:rPr>
          <w:rFonts w:ascii="宋体" w:hAnsi="宋体" w:eastAsia="宋体" w:cs="宋体"/>
          <w:spacing w:val="10"/>
          <w:sz w:val="24"/>
          <w:szCs w:val="24"/>
        </w:rPr>
        <w:t>次高温（</w:t>
      </w:r>
      <w:r>
        <w:rPr>
          <w:rFonts w:ascii="Times New Roman" w:hAnsi="Times New Roman" w:eastAsia="Times New Roman" w:cs="Times New Roman"/>
          <w:spacing w:val="10"/>
          <w:sz w:val="24"/>
          <w:szCs w:val="24"/>
        </w:rPr>
        <w:t>70</w:t>
      </w:r>
      <w:r>
        <w:rPr>
          <w:rFonts w:ascii="宋体" w:hAnsi="宋体" w:eastAsia="宋体" w:cs="宋体"/>
          <w:spacing w:val="10"/>
          <w:sz w:val="24"/>
          <w:szCs w:val="24"/>
        </w:rPr>
        <w:t>℃)、淋</w:t>
      </w:r>
      <w:r>
        <w:rPr>
          <w:rFonts w:ascii="宋体" w:hAnsi="宋体" w:eastAsia="宋体" w:cs="宋体"/>
          <w:spacing w:val="9"/>
          <w:sz w:val="24"/>
          <w:szCs w:val="24"/>
        </w:rPr>
        <w:t>水（</w:t>
      </w:r>
      <w:r>
        <w:rPr>
          <w:rFonts w:ascii="Times New Roman" w:hAnsi="Times New Roman" w:eastAsia="Times New Roman" w:cs="Times New Roman"/>
          <w:spacing w:val="9"/>
          <w:sz w:val="24"/>
          <w:szCs w:val="24"/>
        </w:rPr>
        <w:t>15</w:t>
      </w:r>
      <w:r>
        <w:rPr>
          <w:rFonts w:ascii="宋体" w:hAnsi="宋体" w:eastAsia="宋体" w:cs="宋体"/>
          <w:spacing w:val="9"/>
          <w:sz w:val="24"/>
          <w:szCs w:val="24"/>
        </w:rPr>
        <w:t>℃)和</w:t>
      </w:r>
      <w:r>
        <w:rPr>
          <w:rFonts w:ascii="Times New Roman" w:hAnsi="Times New Roman" w:eastAsia="Times New Roman" w:cs="Times New Roman"/>
          <w:spacing w:val="9"/>
          <w:sz w:val="24"/>
          <w:szCs w:val="24"/>
        </w:rPr>
        <w:t xml:space="preserve">30 </w:t>
      </w:r>
      <w:r>
        <w:rPr>
          <w:rFonts w:ascii="宋体" w:hAnsi="宋体" w:eastAsia="宋体" w:cs="宋体"/>
          <w:spacing w:val="9"/>
          <w:sz w:val="24"/>
          <w:szCs w:val="24"/>
        </w:rPr>
        <w:t>次加热（</w:t>
      </w:r>
      <w:r>
        <w:rPr>
          <w:rFonts w:ascii="Times New Roman" w:hAnsi="Times New Roman" w:eastAsia="Times New Roman" w:cs="Times New Roman"/>
          <w:spacing w:val="9"/>
          <w:sz w:val="24"/>
          <w:szCs w:val="24"/>
        </w:rPr>
        <w:t>50</w:t>
      </w:r>
      <w:r>
        <w:rPr>
          <w:rFonts w:ascii="宋体" w:hAnsi="宋体" w:eastAsia="宋体" w:cs="宋体"/>
          <w:spacing w:val="9"/>
          <w:sz w:val="24"/>
          <w:szCs w:val="24"/>
        </w:rPr>
        <w:t>℃)、冷冻</w:t>
      </w:r>
      <w:r>
        <w:rPr>
          <w:rFonts w:ascii="宋体" w:hAnsi="宋体" w:eastAsia="宋体" w:cs="宋体"/>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20</w:t>
      </w:r>
      <w:r>
        <w:rPr>
          <w:rFonts w:ascii="宋体" w:hAnsi="宋体" w:eastAsia="宋体" w:cs="宋体"/>
          <w:spacing w:val="8"/>
          <w:sz w:val="24"/>
          <w:szCs w:val="24"/>
        </w:rPr>
        <w:t>℃)循环后不得出现开裂、空鼓或脱落。</w:t>
      </w:r>
    </w:p>
    <w:p w14:paraId="48B30792">
      <w:pPr>
        <w:spacing w:before="153" w:line="299" w:lineRule="auto"/>
        <w:ind w:left="3" w:firstLine="481"/>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抗裂面层与保温层拉伸粘结强度：Ⅰ型保温砂浆不应小于</w:t>
      </w:r>
      <w:r>
        <w:rPr>
          <w:rFonts w:ascii="宋体" w:hAnsi="宋体" w:eastAsia="宋体" w:cs="宋体"/>
          <w:spacing w:val="-40"/>
          <w:sz w:val="24"/>
          <w:szCs w:val="24"/>
        </w:rPr>
        <w:t xml:space="preserve"> </w:t>
      </w:r>
      <w:r>
        <w:rPr>
          <w:rFonts w:ascii="Times New Roman" w:hAnsi="Times New Roman" w:eastAsia="Times New Roman" w:cs="Times New Roman"/>
          <w:spacing w:val="-1"/>
          <w:sz w:val="24"/>
          <w:szCs w:val="24"/>
        </w:rPr>
        <w:t>0.10MPa</w:t>
      </w:r>
      <w:r>
        <w:rPr>
          <w:rFonts w:ascii="宋体" w:hAnsi="宋体" w:eastAsia="宋体" w:cs="宋体"/>
          <w:spacing w:val="-1"/>
          <w:sz w:val="24"/>
          <w:szCs w:val="24"/>
        </w:rPr>
        <w:t>，Ⅱ型保温</w:t>
      </w:r>
      <w:r>
        <w:rPr>
          <w:rFonts w:ascii="宋体" w:hAnsi="宋体" w:eastAsia="宋体" w:cs="宋体"/>
          <w:sz w:val="24"/>
          <w:szCs w:val="24"/>
        </w:rPr>
        <w:t xml:space="preserve"> </w:t>
      </w:r>
      <w:r>
        <w:rPr>
          <w:rFonts w:ascii="宋体" w:hAnsi="宋体" w:eastAsia="宋体" w:cs="宋体"/>
          <w:spacing w:val="-1"/>
          <w:sz w:val="24"/>
          <w:szCs w:val="24"/>
        </w:rPr>
        <w:t>砂浆不应小于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0.15MPa</w:t>
      </w:r>
      <w:r>
        <w:rPr>
          <w:rFonts w:ascii="宋体" w:hAnsi="宋体" w:eastAsia="宋体" w:cs="宋体"/>
          <w:spacing w:val="-1"/>
          <w:sz w:val="24"/>
          <w:szCs w:val="24"/>
        </w:rPr>
        <w:t>，Ⅲ型保温砂浆不应小于</w:t>
      </w:r>
      <w:r>
        <w:rPr>
          <w:rFonts w:ascii="宋体" w:hAnsi="宋体" w:eastAsia="宋体" w:cs="宋体"/>
          <w:spacing w:val="-38"/>
          <w:sz w:val="24"/>
          <w:szCs w:val="24"/>
        </w:rPr>
        <w:t xml:space="preserve"> </w:t>
      </w:r>
      <w:r>
        <w:rPr>
          <w:rFonts w:ascii="Times New Roman" w:hAnsi="Times New Roman" w:eastAsia="Times New Roman" w:cs="Times New Roman"/>
          <w:spacing w:val="-1"/>
          <w:sz w:val="24"/>
          <w:szCs w:val="24"/>
        </w:rPr>
        <w:t>0.25MPa</w:t>
      </w:r>
      <w:r>
        <w:rPr>
          <w:rFonts w:ascii="宋体" w:hAnsi="宋体" w:eastAsia="宋体" w:cs="宋体"/>
          <w:spacing w:val="-2"/>
          <w:sz w:val="24"/>
          <w:szCs w:val="24"/>
        </w:rPr>
        <w:t>；且破坏部位应位于保温层</w:t>
      </w:r>
      <w:r>
        <w:rPr>
          <w:rFonts w:ascii="宋体" w:hAnsi="宋体" w:eastAsia="宋体" w:cs="宋体"/>
          <w:sz w:val="24"/>
          <w:szCs w:val="24"/>
        </w:rPr>
        <w:t xml:space="preserve"> </w:t>
      </w:r>
      <w:r>
        <w:rPr>
          <w:rFonts w:ascii="宋体" w:hAnsi="宋体" w:eastAsia="宋体" w:cs="宋体"/>
          <w:spacing w:val="-11"/>
          <w:sz w:val="24"/>
          <w:szCs w:val="24"/>
        </w:rPr>
        <w:t>内。</w:t>
      </w:r>
    </w:p>
    <w:p w14:paraId="02DBB311">
      <w:pPr>
        <w:spacing w:before="154" w:line="220" w:lineRule="auto"/>
        <w:ind w:left="478"/>
        <w:rPr>
          <w:rFonts w:ascii="宋体" w:hAnsi="宋体" w:eastAsia="宋体" w:cs="宋体"/>
          <w:sz w:val="24"/>
          <w:szCs w:val="24"/>
        </w:rPr>
      </w:pPr>
      <w:r>
        <w:rPr>
          <w:rFonts w:ascii="Times New Roman" w:hAnsi="Times New Roman" w:eastAsia="Times New Roman" w:cs="Times New Roman"/>
          <w:sz w:val="24"/>
          <w:szCs w:val="24"/>
        </w:rPr>
        <w:t xml:space="preserve">4  </w:t>
      </w:r>
      <w:r>
        <w:rPr>
          <w:rFonts w:ascii="宋体" w:hAnsi="宋体" w:eastAsia="宋体" w:cs="宋体"/>
          <w:sz w:val="24"/>
          <w:szCs w:val="24"/>
        </w:rPr>
        <w:t>经耐候性试验后，面砖饰面系统的拉伸粘</w:t>
      </w:r>
      <w:r>
        <w:rPr>
          <w:rFonts w:ascii="宋体" w:hAnsi="宋体" w:eastAsia="宋体" w:cs="宋体"/>
          <w:spacing w:val="-1"/>
          <w:sz w:val="24"/>
          <w:szCs w:val="24"/>
        </w:rPr>
        <w:t>结强度不应小于</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0.4MPa</w:t>
      </w:r>
      <w:r>
        <w:rPr>
          <w:rFonts w:ascii="宋体" w:hAnsi="宋体" w:eastAsia="宋体" w:cs="宋体"/>
          <w:spacing w:val="-1"/>
          <w:sz w:val="24"/>
          <w:szCs w:val="24"/>
        </w:rPr>
        <w:t>。</w:t>
      </w:r>
    </w:p>
    <w:p w14:paraId="7DFD1DF9">
      <w:pPr>
        <w:spacing w:before="154" w:line="279" w:lineRule="auto"/>
        <w:ind w:left="7" w:right="25" w:hanging="2"/>
        <w:rPr>
          <w:rFonts w:ascii="宋体" w:hAnsi="宋体" w:eastAsia="宋体" w:cs="宋体"/>
          <w:sz w:val="24"/>
          <w:szCs w:val="24"/>
        </w:rPr>
      </w:pPr>
      <w:r>
        <w:rPr>
          <w:rFonts w:ascii="Times New Roman" w:hAnsi="Times New Roman" w:eastAsia="Times New Roman" w:cs="Times New Roman"/>
          <w:spacing w:val="-1"/>
          <w:sz w:val="24"/>
          <w:szCs w:val="24"/>
        </w:rPr>
        <w:t xml:space="preserve">6.1.1    </w:t>
      </w:r>
      <w:r>
        <w:rPr>
          <w:rFonts w:ascii="宋体" w:hAnsi="宋体" w:eastAsia="宋体" w:cs="宋体"/>
          <w:spacing w:val="-1"/>
          <w:sz w:val="24"/>
          <w:szCs w:val="24"/>
        </w:rPr>
        <w:t>外墙外保温工程施工期间以</w:t>
      </w:r>
      <w:r>
        <w:rPr>
          <w:rFonts w:ascii="宋体" w:hAnsi="宋体" w:eastAsia="宋体" w:cs="宋体"/>
          <w:spacing w:val="-2"/>
          <w:sz w:val="24"/>
          <w:szCs w:val="24"/>
        </w:rPr>
        <w:t>及完工后</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24h</w:t>
      </w:r>
      <w:r>
        <w:rPr>
          <w:rFonts w:ascii="Times New Roman" w:hAnsi="Times New Roman" w:eastAsia="Times New Roman" w:cs="Times New Roman"/>
          <w:spacing w:val="39"/>
          <w:sz w:val="24"/>
          <w:szCs w:val="24"/>
        </w:rPr>
        <w:t xml:space="preserve"> </w:t>
      </w:r>
      <w:r>
        <w:rPr>
          <w:rFonts w:ascii="宋体" w:hAnsi="宋体" w:eastAsia="宋体" w:cs="宋体"/>
          <w:spacing w:val="-2"/>
          <w:sz w:val="24"/>
          <w:szCs w:val="24"/>
        </w:rPr>
        <w:t>内，在夏季，应避免阳光暴晒，在</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z w:val="24"/>
          <w:szCs w:val="24"/>
        </w:rPr>
        <w:t xml:space="preserve"> </w:t>
      </w:r>
      <w:r>
        <w:rPr>
          <w:rFonts w:ascii="宋体" w:hAnsi="宋体" w:eastAsia="宋体" w:cs="宋体"/>
          <w:spacing w:val="-3"/>
          <w:sz w:val="24"/>
          <w:szCs w:val="24"/>
        </w:rPr>
        <w:t>级以上大风天气和雨天不得施工。</w:t>
      </w:r>
    </w:p>
    <w:p w14:paraId="583BF5E5">
      <w:pPr>
        <w:spacing w:before="154" w:line="219" w:lineRule="auto"/>
        <w:ind w:left="5"/>
        <w:rPr>
          <w:rFonts w:ascii="宋体" w:hAnsi="宋体" w:eastAsia="宋体" w:cs="宋体"/>
          <w:sz w:val="24"/>
          <w:szCs w:val="24"/>
        </w:rPr>
      </w:pPr>
      <w:r>
        <w:rPr>
          <w:rFonts w:ascii="Times New Roman" w:hAnsi="Times New Roman" w:eastAsia="Times New Roman" w:cs="Times New Roman"/>
          <w:spacing w:val="-2"/>
          <w:sz w:val="24"/>
          <w:szCs w:val="24"/>
        </w:rPr>
        <w:t xml:space="preserve">6.1.2    </w:t>
      </w:r>
      <w:r>
        <w:rPr>
          <w:rFonts w:ascii="宋体" w:hAnsi="宋体" w:eastAsia="宋体" w:cs="宋体"/>
          <w:spacing w:val="-2"/>
          <w:sz w:val="24"/>
          <w:szCs w:val="24"/>
        </w:rPr>
        <w:t>无机轻集料砂浆保温系统外墙保温工程的施工，应符合下列规定：</w:t>
      </w:r>
    </w:p>
    <w:p w14:paraId="73B0173E">
      <w:pPr>
        <w:spacing w:before="156" w:line="220" w:lineRule="auto"/>
        <w:ind w:left="503"/>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保温砂浆层厚度应符合设计要求。</w:t>
      </w:r>
    </w:p>
    <w:p w14:paraId="4651285D">
      <w:pPr>
        <w:spacing w:before="153" w:line="220" w:lineRule="auto"/>
        <w:ind w:left="479"/>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保温砂浆层应分层施工。保温砂浆层与基层之间及各层之间应</w:t>
      </w:r>
      <w:r>
        <w:rPr>
          <w:rFonts w:ascii="宋体" w:hAnsi="宋体" w:eastAsia="宋体" w:cs="宋体"/>
          <w:spacing w:val="-2"/>
          <w:sz w:val="24"/>
          <w:szCs w:val="24"/>
        </w:rPr>
        <w:t>粘结牢固。</w:t>
      </w:r>
    </w:p>
    <w:p w14:paraId="4C4AE89E">
      <w:pPr>
        <w:spacing w:before="153" w:line="280" w:lineRule="auto"/>
        <w:ind w:left="6" w:right="205" w:firstLine="478"/>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采用塑料锚栓时，塑料锚栓的数量、位置、锚固深</w:t>
      </w:r>
      <w:r>
        <w:rPr>
          <w:rFonts w:ascii="宋体" w:hAnsi="宋体" w:eastAsia="宋体" w:cs="宋体"/>
          <w:spacing w:val="-1"/>
          <w:sz w:val="24"/>
          <w:szCs w:val="24"/>
        </w:rPr>
        <w:t>度和拉拔力应符合设计要</w:t>
      </w:r>
      <w:r>
        <w:rPr>
          <w:rFonts w:ascii="宋体" w:hAnsi="宋体" w:eastAsia="宋体" w:cs="宋体"/>
          <w:sz w:val="24"/>
          <w:szCs w:val="24"/>
        </w:rPr>
        <w:t xml:space="preserve"> </w:t>
      </w:r>
      <w:r>
        <w:rPr>
          <w:rFonts w:ascii="宋体" w:hAnsi="宋体" w:eastAsia="宋体" w:cs="宋体"/>
          <w:spacing w:val="-3"/>
          <w:sz w:val="24"/>
          <w:szCs w:val="24"/>
        </w:rPr>
        <w:t>求，塑料锚栓应进行现场拉拔试验。</w:t>
      </w:r>
    </w:p>
    <w:p w14:paraId="3CAB92F7">
      <w:pPr>
        <w:spacing w:line="280" w:lineRule="auto"/>
        <w:rPr>
          <w:rFonts w:ascii="宋体" w:hAnsi="宋体" w:eastAsia="宋体" w:cs="宋体"/>
          <w:sz w:val="24"/>
          <w:szCs w:val="24"/>
        </w:rPr>
        <w:sectPr>
          <w:footerReference r:id="rId38" w:type="default"/>
          <w:pgSz w:w="11907" w:h="16839"/>
          <w:pgMar w:top="400" w:right="1644" w:bottom="743" w:left="1422" w:header="0" w:footer="582" w:gutter="0"/>
          <w:cols w:space="720" w:num="1"/>
        </w:sectPr>
      </w:pPr>
    </w:p>
    <w:p w14:paraId="221A5A3E">
      <w:pPr>
        <w:pStyle w:val="2"/>
        <w:spacing w:line="309" w:lineRule="auto"/>
      </w:pPr>
    </w:p>
    <w:p w14:paraId="183590F6">
      <w:pPr>
        <w:pStyle w:val="2"/>
        <w:spacing w:line="309" w:lineRule="auto"/>
      </w:pPr>
    </w:p>
    <w:p w14:paraId="2458BFCE">
      <w:pPr>
        <w:pStyle w:val="2"/>
        <w:spacing w:line="309" w:lineRule="auto"/>
      </w:pPr>
    </w:p>
    <w:p w14:paraId="2CE73B1C">
      <w:pPr>
        <w:spacing w:before="88" w:line="225" w:lineRule="auto"/>
        <w:outlineLvl w:val="1"/>
        <w:rPr>
          <w:rFonts w:ascii="宋体" w:hAnsi="宋体" w:eastAsia="宋体" w:cs="宋体"/>
          <w:sz w:val="27"/>
          <w:szCs w:val="27"/>
        </w:rPr>
      </w:pPr>
      <w:bookmarkStart w:id="49" w:name="bookmark96"/>
      <w:bookmarkEnd w:id="49"/>
      <w:r>
        <w:rPr>
          <w:rFonts w:ascii="Times New Roman" w:hAnsi="Times New Roman" w:eastAsia="Times New Roman" w:cs="Times New Roman"/>
          <w:b/>
          <w:bCs/>
          <w:spacing w:val="6"/>
          <w:sz w:val="27"/>
          <w:szCs w:val="27"/>
        </w:rPr>
        <w:t>32.</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256-2011  </w:t>
      </w:r>
      <w:r>
        <w:rPr>
          <w:rFonts w:ascii="宋体" w:hAnsi="宋体" w:eastAsia="宋体" w:cs="宋体"/>
          <w:b/>
          <w:bCs/>
          <w:spacing w:val="6"/>
          <w:sz w:val="27"/>
          <w:szCs w:val="27"/>
        </w:rPr>
        <w:t>钢筋锚固板应用技术</w:t>
      </w:r>
      <w:r>
        <w:rPr>
          <w:rFonts w:ascii="宋体" w:hAnsi="宋体" w:eastAsia="宋体" w:cs="宋体"/>
          <w:b/>
          <w:bCs/>
          <w:spacing w:val="5"/>
          <w:sz w:val="27"/>
          <w:szCs w:val="27"/>
        </w:rPr>
        <w:t>规程</w:t>
      </w:r>
    </w:p>
    <w:p w14:paraId="591B594D">
      <w:pPr>
        <w:spacing w:before="287" w:line="220" w:lineRule="auto"/>
        <w:ind w:left="5"/>
        <w:rPr>
          <w:rFonts w:ascii="宋体" w:hAnsi="宋体" w:eastAsia="宋体" w:cs="宋体"/>
          <w:sz w:val="24"/>
          <w:szCs w:val="24"/>
        </w:rPr>
      </w:pPr>
      <w:r>
        <w:rPr>
          <w:rFonts w:ascii="Times New Roman" w:hAnsi="Times New Roman" w:eastAsia="Times New Roman" w:cs="Times New Roman"/>
          <w:spacing w:val="2"/>
          <w:sz w:val="24"/>
          <w:szCs w:val="24"/>
        </w:rPr>
        <w:t xml:space="preserve">3.2.3    </w:t>
      </w:r>
      <w:r>
        <w:rPr>
          <w:rFonts w:ascii="宋体" w:hAnsi="宋体" w:eastAsia="宋体" w:cs="宋体"/>
          <w:spacing w:val="2"/>
          <w:sz w:val="24"/>
          <w:szCs w:val="24"/>
        </w:rPr>
        <w:t>钢筋锚固板试件的极限拉力不应小</w:t>
      </w:r>
      <w:r>
        <w:rPr>
          <w:rFonts w:ascii="宋体" w:hAnsi="宋体" w:eastAsia="宋体" w:cs="宋体"/>
          <w:spacing w:val="1"/>
          <w:sz w:val="24"/>
          <w:szCs w:val="24"/>
        </w:rPr>
        <w:t>于钢筋达到极限强度标准值时的拉力</w:t>
      </w:r>
      <w:r>
        <w:rPr>
          <w:rFonts w:ascii="Times New Roman" w:hAnsi="Times New Roman" w:eastAsia="Times New Roman" w:cs="Times New Roman"/>
          <w:sz w:val="24"/>
          <w:szCs w:val="24"/>
        </w:rPr>
        <w:t>f</w:t>
      </w:r>
      <w:r>
        <w:rPr>
          <w:rFonts w:ascii="Times New Roman" w:hAnsi="Times New Roman" w:eastAsia="Times New Roman" w:cs="Times New Roman"/>
          <w:i/>
          <w:iCs/>
          <w:position w:val="-5"/>
          <w:sz w:val="14"/>
          <w:szCs w:val="14"/>
        </w:rPr>
        <w:t>stk</w:t>
      </w:r>
      <w:r>
        <w:rPr>
          <w:rFonts w:ascii="Times New Roman" w:hAnsi="Times New Roman" w:eastAsia="Times New Roman" w:cs="Times New Roman"/>
          <w:i/>
          <w:iCs/>
          <w:spacing w:val="1"/>
          <w:position w:val="-5"/>
          <w:sz w:val="14"/>
          <w:szCs w:val="14"/>
        </w:rPr>
        <w:t xml:space="preserve"> </w:t>
      </w:r>
      <w:r>
        <w:rPr>
          <w:rFonts w:ascii="Times New Roman" w:hAnsi="Times New Roman" w:eastAsia="Times New Roman" w:cs="Times New Roman"/>
          <w:i/>
          <w:iCs/>
          <w:sz w:val="24"/>
          <w:szCs w:val="24"/>
        </w:rPr>
        <w:t>A</w:t>
      </w:r>
      <w:r>
        <w:rPr>
          <w:rFonts w:ascii="Times New Roman" w:hAnsi="Times New Roman" w:eastAsia="Times New Roman" w:cs="Times New Roman"/>
          <w:i/>
          <w:iCs/>
          <w:position w:val="-5"/>
          <w:sz w:val="14"/>
          <w:szCs w:val="14"/>
        </w:rPr>
        <w:t>s</w:t>
      </w:r>
      <w:r>
        <w:rPr>
          <w:rFonts w:ascii="Times New Roman" w:hAnsi="Times New Roman" w:eastAsia="Times New Roman" w:cs="Times New Roman"/>
          <w:i/>
          <w:iCs/>
          <w:spacing w:val="1"/>
          <w:position w:val="-5"/>
          <w:sz w:val="14"/>
          <w:szCs w:val="14"/>
        </w:rPr>
        <w:t xml:space="preserve"> </w:t>
      </w:r>
      <w:r>
        <w:rPr>
          <w:rFonts w:ascii="宋体" w:hAnsi="宋体" w:eastAsia="宋体" w:cs="宋体"/>
          <w:spacing w:val="1"/>
          <w:sz w:val="24"/>
          <w:szCs w:val="24"/>
        </w:rPr>
        <w:t>。</w:t>
      </w:r>
    </w:p>
    <w:p w14:paraId="0AD92142">
      <w:pPr>
        <w:spacing w:before="141" w:line="315" w:lineRule="auto"/>
        <w:ind w:left="4"/>
        <w:rPr>
          <w:rFonts w:ascii="宋体" w:hAnsi="宋体" w:eastAsia="宋体" w:cs="宋体"/>
          <w:sz w:val="24"/>
          <w:szCs w:val="24"/>
        </w:rPr>
      </w:pPr>
      <w:r>
        <w:rPr>
          <w:rFonts w:ascii="Times New Roman" w:hAnsi="Times New Roman" w:eastAsia="Times New Roman" w:cs="Times New Roman"/>
          <w:sz w:val="24"/>
          <w:szCs w:val="24"/>
        </w:rPr>
        <w:t xml:space="preserve">6.0.7    </w:t>
      </w:r>
      <w:r>
        <w:rPr>
          <w:rFonts w:ascii="宋体" w:hAnsi="宋体" w:eastAsia="宋体" w:cs="宋体"/>
          <w:sz w:val="24"/>
          <w:szCs w:val="24"/>
        </w:rPr>
        <w:t>对螺纹连接钢筋锚固板的每一</w:t>
      </w:r>
      <w:r>
        <w:rPr>
          <w:rFonts w:ascii="宋体" w:hAnsi="宋体" w:eastAsia="宋体" w:cs="宋体"/>
          <w:spacing w:val="-1"/>
          <w:sz w:val="24"/>
          <w:szCs w:val="24"/>
        </w:rPr>
        <w:t>验收批，应在加工现场随机抽取</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个试件作抗拉</w:t>
      </w:r>
      <w:r>
        <w:rPr>
          <w:rFonts w:ascii="宋体" w:hAnsi="宋体" w:eastAsia="宋体" w:cs="宋体"/>
          <w:sz w:val="24"/>
          <w:szCs w:val="24"/>
        </w:rPr>
        <w:t xml:space="preserve">  强度试验，并应按本规程第</w:t>
      </w:r>
      <w:r>
        <w:rPr>
          <w:rFonts w:ascii="宋体" w:hAnsi="宋体" w:eastAsia="宋体" w:cs="宋体"/>
          <w:spacing w:val="-50"/>
          <w:sz w:val="24"/>
          <w:szCs w:val="24"/>
        </w:rPr>
        <w:t xml:space="preserve"> </w:t>
      </w:r>
      <w:r>
        <w:rPr>
          <w:rFonts w:ascii="Times New Roman" w:hAnsi="Times New Roman" w:eastAsia="Times New Roman" w:cs="Times New Roman"/>
          <w:sz w:val="24"/>
          <w:szCs w:val="24"/>
        </w:rPr>
        <w:t xml:space="preserve">3.2.3 </w:t>
      </w:r>
      <w:r>
        <w:rPr>
          <w:rFonts w:ascii="宋体" w:hAnsi="宋体" w:eastAsia="宋体" w:cs="宋体"/>
          <w:sz w:val="24"/>
          <w:szCs w:val="24"/>
        </w:rPr>
        <w:t>条的抗</w:t>
      </w:r>
      <w:r>
        <w:rPr>
          <w:rFonts w:ascii="宋体" w:hAnsi="宋体" w:eastAsia="宋体" w:cs="宋体"/>
          <w:spacing w:val="-1"/>
          <w:sz w:val="24"/>
          <w:szCs w:val="24"/>
        </w:rPr>
        <w:t>拉强度要求进行评定。</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个试件的抗拉强度均</w:t>
      </w:r>
      <w:r>
        <w:rPr>
          <w:rFonts w:ascii="宋体" w:hAnsi="宋体" w:eastAsia="宋体" w:cs="宋体"/>
          <w:sz w:val="24"/>
          <w:szCs w:val="24"/>
        </w:rPr>
        <w:t xml:space="preserve">  </w:t>
      </w:r>
      <w:r>
        <w:rPr>
          <w:rFonts w:ascii="宋体" w:hAnsi="宋体" w:eastAsia="宋体" w:cs="宋体"/>
          <w:spacing w:val="-1"/>
          <w:sz w:val="24"/>
          <w:szCs w:val="24"/>
        </w:rPr>
        <w:t>应符合强度要求，该验收批评为合格。如有</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个试件的抗拉强度</w:t>
      </w:r>
      <w:r>
        <w:rPr>
          <w:rFonts w:ascii="宋体" w:hAnsi="宋体" w:eastAsia="宋体" w:cs="宋体"/>
          <w:spacing w:val="-2"/>
          <w:sz w:val="24"/>
          <w:szCs w:val="24"/>
        </w:rPr>
        <w:t>不符合要求，应再取</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6</w:t>
      </w:r>
      <w:r>
        <w:rPr>
          <w:rFonts w:ascii="Times New Roman" w:hAnsi="Times New Roman" w:eastAsia="Times New Roman" w:cs="Times New Roman"/>
          <w:sz w:val="24"/>
          <w:szCs w:val="24"/>
        </w:rPr>
        <w:t xml:space="preserve"> </w:t>
      </w:r>
      <w:r>
        <w:rPr>
          <w:rFonts w:ascii="宋体" w:hAnsi="宋体" w:eastAsia="宋体" w:cs="宋体"/>
          <w:spacing w:val="-1"/>
          <w:sz w:val="24"/>
          <w:szCs w:val="24"/>
        </w:rPr>
        <w:t>个试件进行复检。复检中如仍有</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个试件的抗拉强度不符合要求，则该验收批应评为</w:t>
      </w:r>
      <w:r>
        <w:rPr>
          <w:rFonts w:ascii="宋体" w:hAnsi="宋体" w:eastAsia="宋体" w:cs="宋体"/>
          <w:sz w:val="24"/>
          <w:szCs w:val="24"/>
        </w:rPr>
        <w:t xml:space="preserve">  </w:t>
      </w:r>
      <w:r>
        <w:rPr>
          <w:rFonts w:ascii="宋体" w:hAnsi="宋体" w:eastAsia="宋体" w:cs="宋体"/>
          <w:spacing w:val="-9"/>
          <w:sz w:val="24"/>
          <w:szCs w:val="24"/>
        </w:rPr>
        <w:t>不合格。</w:t>
      </w:r>
    </w:p>
    <w:p w14:paraId="40D757EF">
      <w:pPr>
        <w:spacing w:before="153" w:line="219" w:lineRule="auto"/>
        <w:ind w:left="5"/>
        <w:rPr>
          <w:rFonts w:ascii="宋体" w:hAnsi="宋体" w:eastAsia="宋体" w:cs="宋体"/>
          <w:sz w:val="24"/>
          <w:szCs w:val="24"/>
        </w:rPr>
      </w:pPr>
      <w:r>
        <w:rPr>
          <w:rFonts w:ascii="Times New Roman" w:hAnsi="Times New Roman" w:eastAsia="Times New Roman" w:cs="Times New Roman"/>
          <w:sz w:val="24"/>
          <w:szCs w:val="24"/>
        </w:rPr>
        <w:t xml:space="preserve">6.0.8    </w:t>
      </w:r>
      <w:r>
        <w:rPr>
          <w:rFonts w:ascii="宋体" w:hAnsi="宋体" w:eastAsia="宋体" w:cs="宋体"/>
          <w:sz w:val="24"/>
          <w:szCs w:val="24"/>
        </w:rPr>
        <w:t>对焊接连接钢筋锚固板的每一</w:t>
      </w:r>
      <w:r>
        <w:rPr>
          <w:rFonts w:ascii="宋体" w:hAnsi="宋体" w:eastAsia="宋体" w:cs="宋体"/>
          <w:spacing w:val="-1"/>
          <w:sz w:val="24"/>
          <w:szCs w:val="24"/>
        </w:rPr>
        <w:t>验收批，应随机抽取</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个试件，并按本规程第</w:t>
      </w:r>
    </w:p>
    <w:p w14:paraId="4800A3DB">
      <w:pPr>
        <w:spacing w:before="154" w:line="299" w:lineRule="auto"/>
        <w:ind w:left="3" w:right="180" w:firstLine="1"/>
        <w:rPr>
          <w:rFonts w:ascii="宋体" w:hAnsi="宋体" w:eastAsia="宋体" w:cs="宋体"/>
          <w:sz w:val="24"/>
          <w:szCs w:val="24"/>
        </w:rPr>
      </w:pPr>
      <w:r>
        <w:rPr>
          <w:rFonts w:ascii="Times New Roman" w:hAnsi="Times New Roman" w:eastAsia="Times New Roman" w:cs="Times New Roman"/>
          <w:sz w:val="24"/>
          <w:szCs w:val="24"/>
        </w:rPr>
        <w:t xml:space="preserve">3.2.3 </w:t>
      </w:r>
      <w:r>
        <w:rPr>
          <w:rFonts w:ascii="宋体" w:hAnsi="宋体" w:eastAsia="宋体" w:cs="宋体"/>
          <w:sz w:val="24"/>
          <w:szCs w:val="24"/>
        </w:rPr>
        <w:t>条的抗拉强度要求进行评定。</w:t>
      </w:r>
      <w:r>
        <w:rPr>
          <w:rFonts w:ascii="Times New Roman" w:hAnsi="Times New Roman" w:eastAsia="Times New Roman" w:cs="Times New Roman"/>
          <w:sz w:val="24"/>
          <w:szCs w:val="24"/>
        </w:rPr>
        <w:t xml:space="preserve">3 </w:t>
      </w:r>
      <w:r>
        <w:rPr>
          <w:rFonts w:ascii="宋体" w:hAnsi="宋体" w:eastAsia="宋体" w:cs="宋体"/>
          <w:sz w:val="24"/>
          <w:szCs w:val="24"/>
        </w:rPr>
        <w:t>个试件的抗拉强度均应</w:t>
      </w:r>
      <w:r>
        <w:rPr>
          <w:rFonts w:ascii="宋体" w:hAnsi="宋体" w:eastAsia="宋体" w:cs="宋体"/>
          <w:spacing w:val="-1"/>
          <w:sz w:val="24"/>
          <w:szCs w:val="24"/>
        </w:rPr>
        <w:t>符合强度要求，该验收批</w:t>
      </w:r>
      <w:r>
        <w:rPr>
          <w:rFonts w:ascii="宋体" w:hAnsi="宋体" w:eastAsia="宋体" w:cs="宋体"/>
          <w:sz w:val="24"/>
          <w:szCs w:val="24"/>
        </w:rPr>
        <w:t xml:space="preserve"> </w:t>
      </w:r>
      <w:r>
        <w:rPr>
          <w:rFonts w:ascii="宋体" w:hAnsi="宋体" w:eastAsia="宋体" w:cs="宋体"/>
          <w:spacing w:val="-1"/>
          <w:sz w:val="24"/>
          <w:szCs w:val="24"/>
        </w:rPr>
        <w:t>评为合格。如有</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个试件的抗拉强度不符合要求，应再取</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个试</w:t>
      </w:r>
      <w:r>
        <w:rPr>
          <w:rFonts w:ascii="宋体" w:hAnsi="宋体" w:eastAsia="宋体" w:cs="宋体"/>
          <w:spacing w:val="-2"/>
          <w:sz w:val="24"/>
          <w:szCs w:val="24"/>
        </w:rPr>
        <w:t>件进行复检。复检中</w:t>
      </w:r>
      <w:r>
        <w:rPr>
          <w:rFonts w:ascii="宋体" w:hAnsi="宋体" w:eastAsia="宋体" w:cs="宋体"/>
          <w:sz w:val="24"/>
          <w:szCs w:val="24"/>
        </w:rPr>
        <w:t xml:space="preserve"> </w:t>
      </w:r>
      <w:r>
        <w:rPr>
          <w:rFonts w:ascii="宋体" w:hAnsi="宋体" w:eastAsia="宋体" w:cs="宋体"/>
          <w:spacing w:val="-2"/>
          <w:sz w:val="24"/>
          <w:szCs w:val="24"/>
        </w:rPr>
        <w:t>如仍有</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个试件的抗拉强度不符合要求，则该验</w:t>
      </w:r>
      <w:r>
        <w:rPr>
          <w:rFonts w:ascii="宋体" w:hAnsi="宋体" w:eastAsia="宋体" w:cs="宋体"/>
          <w:spacing w:val="-3"/>
          <w:sz w:val="24"/>
          <w:szCs w:val="24"/>
        </w:rPr>
        <w:t>收批应评为不合格。</w:t>
      </w:r>
    </w:p>
    <w:p w14:paraId="6A17E172">
      <w:pPr>
        <w:spacing w:before="302" w:line="227" w:lineRule="auto"/>
        <w:ind w:left="6"/>
        <w:outlineLvl w:val="0"/>
        <w:rPr>
          <w:rFonts w:ascii="宋体" w:hAnsi="宋体" w:eastAsia="宋体" w:cs="宋体"/>
          <w:sz w:val="27"/>
          <w:szCs w:val="27"/>
        </w:rPr>
      </w:pPr>
      <w:bookmarkStart w:id="50" w:name="bookmark97"/>
      <w:bookmarkEnd w:id="50"/>
      <w:r>
        <w:rPr>
          <w:rFonts w:ascii="宋体" w:hAnsi="宋体" w:eastAsia="宋体" w:cs="宋体"/>
          <w:b/>
          <w:bCs/>
          <w:spacing w:val="6"/>
          <w:sz w:val="27"/>
          <w:szCs w:val="27"/>
        </w:rPr>
        <w:t>三、屋面工程</w:t>
      </w:r>
    </w:p>
    <w:p w14:paraId="7178A16C">
      <w:pPr>
        <w:spacing w:before="313" w:line="226" w:lineRule="auto"/>
        <w:ind w:left="13"/>
        <w:outlineLvl w:val="1"/>
        <w:rPr>
          <w:rFonts w:ascii="宋体" w:hAnsi="宋体" w:eastAsia="宋体" w:cs="宋体"/>
          <w:sz w:val="27"/>
          <w:szCs w:val="27"/>
        </w:rPr>
      </w:pPr>
      <w:bookmarkStart w:id="51" w:name="bookmark98"/>
      <w:bookmarkEnd w:id="51"/>
      <w:r>
        <w:rPr>
          <w:rFonts w:ascii="Times New Roman" w:hAnsi="Times New Roman" w:eastAsia="Times New Roman" w:cs="Times New Roman"/>
          <w:b/>
          <w:bCs/>
          <w:spacing w:val="6"/>
          <w:sz w:val="27"/>
          <w:szCs w:val="27"/>
        </w:rPr>
        <w:t>1.</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50207-2012  </w:t>
      </w:r>
      <w:r>
        <w:rPr>
          <w:rFonts w:ascii="宋体" w:hAnsi="宋体" w:eastAsia="宋体" w:cs="宋体"/>
          <w:b/>
          <w:bCs/>
          <w:spacing w:val="6"/>
          <w:sz w:val="27"/>
          <w:szCs w:val="27"/>
        </w:rPr>
        <w:t>屋面工程质量验收规范【强条已</w:t>
      </w:r>
      <w:r>
        <w:rPr>
          <w:rFonts w:ascii="宋体" w:hAnsi="宋体" w:eastAsia="宋体" w:cs="宋体"/>
          <w:b/>
          <w:bCs/>
          <w:spacing w:val="5"/>
          <w:sz w:val="27"/>
          <w:szCs w:val="27"/>
        </w:rPr>
        <w:t>废】</w:t>
      </w:r>
    </w:p>
    <w:p w14:paraId="1C41A4A8">
      <w:pPr>
        <w:spacing w:before="284"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EE0000"/>
          <w:spacing w:val="-2"/>
          <w:sz w:val="24"/>
          <w:szCs w:val="24"/>
          <w:u w:val="single" w:color="auto"/>
        </w:rPr>
        <w:t xml:space="preserve">GB55030-2022 </w:t>
      </w:r>
      <w:r>
        <w:rPr>
          <w:rFonts w:ascii="宋体" w:hAnsi="宋体" w:eastAsia="宋体" w:cs="宋体"/>
          <w:b/>
          <w:bCs/>
          <w:color w:val="EE0000"/>
          <w:spacing w:val="-2"/>
          <w:sz w:val="24"/>
          <w:szCs w:val="24"/>
          <w:u w:val="single" w:color="auto"/>
        </w:rPr>
        <w:t>建筑与市政工程防水通用规范</w:t>
      </w:r>
      <w:r>
        <w:rPr>
          <w:rFonts w:ascii="宋体" w:hAnsi="宋体" w:eastAsia="宋体" w:cs="宋体"/>
          <w:b/>
          <w:bCs/>
          <w:color w:val="EE0000"/>
          <w:spacing w:val="-2"/>
          <w:sz w:val="24"/>
          <w:szCs w:val="24"/>
        </w:rPr>
        <w:t>》替代</w:t>
      </w:r>
    </w:p>
    <w:p w14:paraId="7B77CCAA">
      <w:pPr>
        <w:spacing w:before="154" w:line="309" w:lineRule="auto"/>
        <w:ind w:left="2" w:right="180" w:firstLine="2"/>
        <w:rPr>
          <w:rFonts w:ascii="宋体" w:hAnsi="宋体" w:eastAsia="宋体" w:cs="宋体"/>
          <w:sz w:val="24"/>
          <w:szCs w:val="24"/>
        </w:rPr>
      </w:pPr>
      <w:r>
        <w:rPr>
          <w:rFonts w:ascii="Times New Roman" w:hAnsi="Times New Roman" w:eastAsia="Times New Roman" w:cs="Times New Roman"/>
          <w:strike/>
          <w:sz w:val="24"/>
          <w:szCs w:val="24"/>
        </w:rPr>
        <w:t xml:space="preserve">3.0.6    </w:t>
      </w:r>
      <w:r>
        <w:rPr>
          <w:rFonts w:ascii="宋体" w:hAnsi="宋体" w:eastAsia="宋体" w:cs="宋体"/>
          <w:strike/>
          <w:sz w:val="24"/>
          <w:szCs w:val="24"/>
        </w:rPr>
        <w:t>屋面工程所用的防水、保温材料应有产品合格证书和</w:t>
      </w:r>
      <w:r>
        <w:rPr>
          <w:rFonts w:ascii="宋体" w:hAnsi="宋体" w:eastAsia="宋体" w:cs="宋体"/>
          <w:strike/>
          <w:spacing w:val="-1"/>
          <w:sz w:val="24"/>
          <w:szCs w:val="24"/>
        </w:rPr>
        <w:t>性能检测报告，材料的品</w:t>
      </w:r>
      <w:r>
        <w:rPr>
          <w:rFonts w:ascii="宋体" w:hAnsi="宋体" w:eastAsia="宋体" w:cs="宋体"/>
          <w:sz w:val="24"/>
          <w:szCs w:val="24"/>
        </w:rPr>
        <w:t xml:space="preserve"> </w:t>
      </w:r>
      <w:r>
        <w:rPr>
          <w:rFonts w:ascii="宋体" w:hAnsi="宋体" w:eastAsia="宋体" w:cs="宋体"/>
          <w:strike/>
          <w:sz w:val="24"/>
          <w:szCs w:val="24"/>
        </w:rPr>
        <w:t>种、规格、性能等必须符合国家现行产品标准和设计要求。产品</w:t>
      </w:r>
      <w:r>
        <w:rPr>
          <w:rFonts w:ascii="宋体" w:hAnsi="宋体" w:eastAsia="宋体" w:cs="宋体"/>
          <w:strike/>
          <w:spacing w:val="-1"/>
          <w:sz w:val="24"/>
          <w:szCs w:val="24"/>
        </w:rPr>
        <w:t>质量应由经过省级以</w:t>
      </w:r>
      <w:r>
        <w:rPr>
          <w:rFonts w:ascii="宋体" w:hAnsi="宋体" w:eastAsia="宋体" w:cs="宋体"/>
          <w:sz w:val="24"/>
          <w:szCs w:val="24"/>
        </w:rPr>
        <w:t xml:space="preserve"> </w:t>
      </w:r>
      <w:r>
        <w:rPr>
          <w:rFonts w:ascii="宋体" w:hAnsi="宋体" w:eastAsia="宋体" w:cs="宋体"/>
          <w:strike/>
          <w:sz w:val="24"/>
          <w:szCs w:val="24"/>
        </w:rPr>
        <w:t>上建设行政主管部门对其资质认可和质量技术监督部门对其计量</w:t>
      </w:r>
      <w:r>
        <w:rPr>
          <w:rFonts w:ascii="宋体" w:hAnsi="宋体" w:eastAsia="宋体" w:cs="宋体"/>
          <w:strike/>
          <w:spacing w:val="-1"/>
          <w:sz w:val="24"/>
          <w:szCs w:val="24"/>
        </w:rPr>
        <w:t>认证的质量检测单位</w:t>
      </w:r>
      <w:r>
        <w:rPr>
          <w:rFonts w:ascii="宋体" w:hAnsi="宋体" w:eastAsia="宋体" w:cs="宋体"/>
          <w:sz w:val="24"/>
          <w:szCs w:val="24"/>
        </w:rPr>
        <w:t xml:space="preserve"> </w:t>
      </w:r>
      <w:r>
        <w:rPr>
          <w:rFonts w:ascii="宋体" w:hAnsi="宋体" w:eastAsia="宋体" w:cs="宋体"/>
          <w:strike/>
          <w:spacing w:val="-2"/>
          <w:sz w:val="24"/>
          <w:szCs w:val="24"/>
        </w:rPr>
        <w:t>进行检测。</w:t>
      </w:r>
    </w:p>
    <w:p w14:paraId="49C859C0">
      <w:pPr>
        <w:spacing w:before="154" w:line="279" w:lineRule="auto"/>
        <w:ind w:left="5" w:right="60"/>
        <w:rPr>
          <w:rFonts w:ascii="宋体" w:hAnsi="宋体" w:eastAsia="宋体" w:cs="宋体"/>
          <w:sz w:val="24"/>
          <w:szCs w:val="24"/>
        </w:rPr>
      </w:pPr>
      <w:r>
        <w:rPr>
          <w:rFonts w:ascii="Times New Roman" w:hAnsi="Times New Roman" w:eastAsia="Times New Roman" w:cs="Times New Roman"/>
          <w:strike/>
          <w:sz w:val="24"/>
          <w:szCs w:val="24"/>
        </w:rPr>
        <w:t xml:space="preserve">3.0.12    </w:t>
      </w:r>
      <w:r>
        <w:rPr>
          <w:rFonts w:ascii="宋体" w:hAnsi="宋体" w:eastAsia="宋体" w:cs="宋体"/>
          <w:strike/>
          <w:sz w:val="24"/>
          <w:szCs w:val="24"/>
        </w:rPr>
        <w:t>屋面防水工程完工后，应进行观感质量检查和雨后观</w:t>
      </w:r>
      <w:r>
        <w:rPr>
          <w:rFonts w:ascii="宋体" w:hAnsi="宋体" w:eastAsia="宋体" w:cs="宋体"/>
          <w:strike/>
          <w:spacing w:val="-1"/>
          <w:sz w:val="24"/>
          <w:szCs w:val="24"/>
        </w:rPr>
        <w:t>察或淋水、蓄水试验，不</w:t>
      </w:r>
      <w:r>
        <w:rPr>
          <w:rFonts w:ascii="宋体" w:hAnsi="宋体" w:eastAsia="宋体" w:cs="宋体"/>
          <w:sz w:val="24"/>
          <w:szCs w:val="24"/>
        </w:rPr>
        <w:t xml:space="preserve"> </w:t>
      </w:r>
      <w:r>
        <w:rPr>
          <w:rFonts w:ascii="宋体" w:hAnsi="宋体" w:eastAsia="宋体" w:cs="宋体"/>
          <w:strike/>
          <w:spacing w:val="-1"/>
          <w:sz w:val="24"/>
          <w:szCs w:val="24"/>
        </w:rPr>
        <w:t>得有渗漏和积水现象。</w:t>
      </w:r>
    </w:p>
    <w:p w14:paraId="78C3478E">
      <w:pPr>
        <w:spacing w:before="156" w:line="279" w:lineRule="auto"/>
        <w:ind w:left="8" w:right="179" w:hanging="1"/>
        <w:rPr>
          <w:rFonts w:ascii="宋体" w:hAnsi="宋体" w:eastAsia="宋体" w:cs="宋体"/>
          <w:sz w:val="24"/>
          <w:szCs w:val="24"/>
        </w:rPr>
      </w:pPr>
      <w:r>
        <w:rPr>
          <w:rFonts w:ascii="Times New Roman" w:hAnsi="Times New Roman" w:eastAsia="Times New Roman" w:cs="Times New Roman"/>
          <w:strike/>
          <w:sz w:val="24"/>
          <w:szCs w:val="24"/>
        </w:rPr>
        <w:t xml:space="preserve">5.1.7    </w:t>
      </w:r>
      <w:r>
        <w:rPr>
          <w:rFonts w:ascii="宋体" w:hAnsi="宋体" w:eastAsia="宋体" w:cs="宋体"/>
          <w:strike/>
          <w:sz w:val="24"/>
          <w:szCs w:val="24"/>
        </w:rPr>
        <w:t>保温材料的导热系数、表观密度或干密度、抗压</w:t>
      </w:r>
      <w:r>
        <w:rPr>
          <w:rFonts w:ascii="宋体" w:hAnsi="宋体" w:eastAsia="宋体" w:cs="宋体"/>
          <w:strike/>
          <w:spacing w:val="-1"/>
          <w:sz w:val="24"/>
          <w:szCs w:val="24"/>
        </w:rPr>
        <w:t>强度或压缩强度、烧结性能，</w:t>
      </w:r>
      <w:r>
        <w:rPr>
          <w:rFonts w:ascii="宋体" w:hAnsi="宋体" w:eastAsia="宋体" w:cs="宋体"/>
          <w:sz w:val="24"/>
          <w:szCs w:val="24"/>
        </w:rPr>
        <w:t xml:space="preserve"> </w:t>
      </w:r>
      <w:r>
        <w:rPr>
          <w:rFonts w:ascii="宋体" w:hAnsi="宋体" w:eastAsia="宋体" w:cs="宋体"/>
          <w:strike/>
          <w:spacing w:val="-2"/>
          <w:sz w:val="24"/>
          <w:szCs w:val="24"/>
        </w:rPr>
        <w:t>必须符合设计要求。</w:t>
      </w:r>
    </w:p>
    <w:p w14:paraId="501F8F35">
      <w:pPr>
        <w:spacing w:before="153" w:line="279" w:lineRule="auto"/>
        <w:ind w:left="5" w:right="39" w:hanging="1"/>
        <w:rPr>
          <w:rFonts w:ascii="宋体" w:hAnsi="宋体" w:eastAsia="宋体" w:cs="宋体"/>
          <w:sz w:val="24"/>
          <w:szCs w:val="24"/>
        </w:rPr>
      </w:pPr>
      <w:r>
        <w:rPr>
          <w:rFonts w:ascii="Times New Roman" w:hAnsi="Times New Roman" w:eastAsia="Times New Roman" w:cs="Times New Roman"/>
          <w:strike/>
          <w:spacing w:val="-1"/>
          <w:sz w:val="24"/>
          <w:szCs w:val="24"/>
        </w:rPr>
        <w:t xml:space="preserve">7.2.7    </w:t>
      </w:r>
      <w:r>
        <w:rPr>
          <w:rFonts w:ascii="宋体" w:hAnsi="宋体" w:eastAsia="宋体" w:cs="宋体"/>
          <w:strike/>
          <w:spacing w:val="-1"/>
          <w:sz w:val="24"/>
          <w:szCs w:val="24"/>
        </w:rPr>
        <w:t>瓦片必须铺置牢固。在大风及地震设防地区或屋面坡度大于</w:t>
      </w:r>
      <w:r>
        <w:rPr>
          <w:rFonts w:ascii="宋体" w:hAnsi="宋体" w:eastAsia="宋体" w:cs="宋体"/>
          <w:strike/>
          <w:spacing w:val="-25"/>
          <w:sz w:val="24"/>
          <w:szCs w:val="24"/>
        </w:rPr>
        <w:t xml:space="preserve"> </w:t>
      </w:r>
      <w:r>
        <w:rPr>
          <w:rFonts w:ascii="Times New Roman" w:hAnsi="Times New Roman" w:eastAsia="Times New Roman" w:cs="Times New Roman"/>
          <w:strike/>
          <w:spacing w:val="-1"/>
          <w:sz w:val="24"/>
          <w:szCs w:val="24"/>
        </w:rPr>
        <w:t>100%</w:t>
      </w:r>
      <w:r>
        <w:rPr>
          <w:rFonts w:ascii="宋体" w:hAnsi="宋体" w:eastAsia="宋体" w:cs="宋体"/>
          <w:strike/>
          <w:spacing w:val="-1"/>
          <w:sz w:val="24"/>
          <w:szCs w:val="24"/>
        </w:rPr>
        <w:t>时，应按设计</w:t>
      </w:r>
      <w:r>
        <w:rPr>
          <w:rFonts w:ascii="宋体" w:hAnsi="宋体" w:eastAsia="宋体" w:cs="宋体"/>
          <w:sz w:val="24"/>
          <w:szCs w:val="24"/>
        </w:rPr>
        <w:t xml:space="preserve"> </w:t>
      </w:r>
      <w:r>
        <w:rPr>
          <w:rFonts w:ascii="宋体" w:hAnsi="宋体" w:eastAsia="宋体" w:cs="宋体"/>
          <w:strike/>
          <w:spacing w:val="-1"/>
          <w:sz w:val="24"/>
          <w:szCs w:val="24"/>
        </w:rPr>
        <w:t>要求采取固定加强措施。</w:t>
      </w:r>
    </w:p>
    <w:p w14:paraId="6F9856B6">
      <w:pPr>
        <w:spacing w:before="155" w:line="220" w:lineRule="auto"/>
        <w:ind w:left="484"/>
        <w:rPr>
          <w:rFonts w:ascii="宋体" w:hAnsi="宋体" w:eastAsia="宋体" w:cs="宋体"/>
          <w:sz w:val="24"/>
          <w:szCs w:val="24"/>
        </w:rPr>
      </w:pPr>
      <w:r>
        <w:rPr>
          <w:rFonts w:ascii="宋体" w:hAnsi="宋体" w:eastAsia="宋体" w:cs="宋体"/>
          <w:strike/>
          <w:spacing w:val="-1"/>
          <w:sz w:val="24"/>
          <w:szCs w:val="24"/>
        </w:rPr>
        <w:t>检验方法：观察或手扳检查。</w:t>
      </w:r>
    </w:p>
    <w:p w14:paraId="0C26531B">
      <w:pPr>
        <w:spacing w:before="202" w:line="226" w:lineRule="auto"/>
        <w:ind w:left="2"/>
        <w:outlineLvl w:val="1"/>
        <w:rPr>
          <w:rFonts w:ascii="宋体" w:hAnsi="宋体" w:eastAsia="宋体" w:cs="宋体"/>
          <w:sz w:val="27"/>
          <w:szCs w:val="27"/>
        </w:rPr>
      </w:pPr>
      <w:bookmarkStart w:id="52" w:name="bookmark99"/>
      <w:bookmarkEnd w:id="52"/>
      <w:r>
        <w:rPr>
          <w:rFonts w:ascii="Times New Roman" w:hAnsi="Times New Roman" w:eastAsia="Times New Roman" w:cs="Times New Roman"/>
          <w:b/>
          <w:bCs/>
          <w:spacing w:val="6"/>
          <w:sz w:val="27"/>
          <w:szCs w:val="27"/>
        </w:rPr>
        <w:t>2.</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50345-2012  </w:t>
      </w:r>
      <w:r>
        <w:rPr>
          <w:rFonts w:ascii="宋体" w:hAnsi="宋体" w:eastAsia="宋体" w:cs="宋体"/>
          <w:b/>
          <w:bCs/>
          <w:spacing w:val="6"/>
          <w:sz w:val="27"/>
          <w:szCs w:val="27"/>
        </w:rPr>
        <w:t>屋面工程技术规范【强条已废】</w:t>
      </w:r>
    </w:p>
    <w:p w14:paraId="4C67F5BA">
      <w:pPr>
        <w:spacing w:before="253"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GB55030-2022 </w:t>
      </w:r>
      <w:r>
        <w:rPr>
          <w:rFonts w:ascii="宋体" w:hAnsi="宋体" w:eastAsia="宋体" w:cs="宋体"/>
          <w:b/>
          <w:bCs/>
          <w:color w:val="0563C1"/>
          <w:spacing w:val="-2"/>
          <w:sz w:val="24"/>
          <w:szCs w:val="24"/>
          <w:u w:val="single" w:color="auto"/>
        </w:rPr>
        <w:t>建筑与市政工程防水通用规范</w:t>
      </w:r>
      <w:r>
        <w:rPr>
          <w:rFonts w:ascii="宋体" w:hAnsi="宋体" w:eastAsia="宋体" w:cs="宋体"/>
          <w:b/>
          <w:bCs/>
          <w:color w:val="EE0000"/>
          <w:spacing w:val="-2"/>
          <w:sz w:val="24"/>
          <w:szCs w:val="24"/>
        </w:rPr>
        <w:t>》替代</w:t>
      </w:r>
    </w:p>
    <w:p w14:paraId="2B6844E3">
      <w:pPr>
        <w:spacing w:before="183" w:line="360" w:lineRule="auto"/>
        <w:ind w:left="10" w:right="179" w:hanging="5"/>
        <w:rPr>
          <w:rFonts w:ascii="宋体" w:hAnsi="宋体" w:eastAsia="宋体" w:cs="宋体"/>
          <w:sz w:val="24"/>
          <w:szCs w:val="24"/>
        </w:rPr>
      </w:pPr>
      <w:r>
        <w:rPr>
          <w:rFonts w:ascii="Times New Roman" w:hAnsi="Times New Roman" w:eastAsia="Times New Roman" w:cs="Times New Roman"/>
          <w:strike/>
          <w:sz w:val="24"/>
          <w:szCs w:val="24"/>
        </w:rPr>
        <w:t xml:space="preserve">3.0.5    </w:t>
      </w:r>
      <w:r>
        <w:rPr>
          <w:rFonts w:ascii="宋体" w:hAnsi="宋体" w:eastAsia="宋体" w:cs="宋体"/>
          <w:strike/>
          <w:sz w:val="24"/>
          <w:szCs w:val="24"/>
        </w:rPr>
        <w:t>屋面防水工程应根据建筑物的类别、重要程度、使用</w:t>
      </w:r>
      <w:r>
        <w:rPr>
          <w:rFonts w:ascii="宋体" w:hAnsi="宋体" w:eastAsia="宋体" w:cs="宋体"/>
          <w:strike/>
          <w:spacing w:val="-1"/>
          <w:sz w:val="24"/>
          <w:szCs w:val="24"/>
        </w:rPr>
        <w:t>功能要求确定防水等级，</w:t>
      </w:r>
      <w:r>
        <w:rPr>
          <w:rFonts w:ascii="宋体" w:hAnsi="宋体" w:eastAsia="宋体" w:cs="宋体"/>
          <w:sz w:val="24"/>
          <w:szCs w:val="24"/>
        </w:rPr>
        <w:t xml:space="preserve"> </w:t>
      </w:r>
      <w:r>
        <w:rPr>
          <w:rFonts w:ascii="宋体" w:hAnsi="宋体" w:eastAsia="宋体" w:cs="宋体"/>
          <w:strike/>
          <w:sz w:val="24"/>
          <w:szCs w:val="24"/>
        </w:rPr>
        <w:t>并应按相应等级进行防水设防；对防水有特殊</w:t>
      </w:r>
      <w:r>
        <w:rPr>
          <w:rFonts w:ascii="宋体" w:hAnsi="宋体" w:eastAsia="宋体" w:cs="宋体"/>
          <w:strike/>
          <w:spacing w:val="-1"/>
          <w:sz w:val="24"/>
          <w:szCs w:val="24"/>
        </w:rPr>
        <w:t>要求的建筑屋面，应进行专项防水设</w:t>
      </w:r>
    </w:p>
    <w:p w14:paraId="18CE89A8">
      <w:pPr>
        <w:spacing w:before="1" w:line="219" w:lineRule="auto"/>
        <w:ind w:left="4"/>
        <w:rPr>
          <w:rFonts w:ascii="宋体" w:hAnsi="宋体" w:eastAsia="宋体" w:cs="宋体"/>
          <w:sz w:val="24"/>
          <w:szCs w:val="24"/>
        </w:rPr>
      </w:pPr>
      <w:r>
        <w:rPr>
          <w:rFonts w:ascii="宋体" w:hAnsi="宋体" w:eastAsia="宋体" w:cs="宋体"/>
          <w:strike/>
          <w:spacing w:val="-2"/>
          <w:sz w:val="24"/>
          <w:szCs w:val="24"/>
        </w:rPr>
        <w:t>计。屋面防水等级和设防要求应符合表</w:t>
      </w:r>
      <w:r>
        <w:rPr>
          <w:rFonts w:ascii="宋体" w:hAnsi="宋体" w:eastAsia="宋体" w:cs="宋体"/>
          <w:strike/>
          <w:spacing w:val="-41"/>
          <w:sz w:val="24"/>
          <w:szCs w:val="24"/>
        </w:rPr>
        <w:t xml:space="preserve"> </w:t>
      </w:r>
      <w:r>
        <w:rPr>
          <w:rFonts w:ascii="Times New Roman" w:hAnsi="Times New Roman" w:eastAsia="Times New Roman" w:cs="Times New Roman"/>
          <w:strike/>
          <w:spacing w:val="-2"/>
          <w:sz w:val="24"/>
          <w:szCs w:val="24"/>
        </w:rPr>
        <w:t>3.0.5</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的规定。</w:t>
      </w:r>
    </w:p>
    <w:p w14:paraId="1DA75753">
      <w:pPr>
        <w:spacing w:line="219" w:lineRule="auto"/>
        <w:rPr>
          <w:rFonts w:ascii="宋体" w:hAnsi="宋体" w:eastAsia="宋体" w:cs="宋体"/>
          <w:sz w:val="24"/>
          <w:szCs w:val="24"/>
        </w:rPr>
        <w:sectPr>
          <w:footerReference r:id="rId39" w:type="default"/>
          <w:pgSz w:w="11907" w:h="16839"/>
          <w:pgMar w:top="400" w:right="1429" w:bottom="743" w:left="1421" w:header="0" w:footer="582" w:gutter="0"/>
          <w:cols w:space="720" w:num="1"/>
        </w:sectPr>
      </w:pPr>
    </w:p>
    <w:p w14:paraId="699D905F">
      <w:pPr>
        <w:pStyle w:val="2"/>
        <w:spacing w:line="300" w:lineRule="auto"/>
      </w:pPr>
    </w:p>
    <w:p w14:paraId="42D803D6">
      <w:pPr>
        <w:pStyle w:val="2"/>
        <w:spacing w:line="300" w:lineRule="auto"/>
      </w:pPr>
    </w:p>
    <w:p w14:paraId="45F9B0BA">
      <w:pPr>
        <w:pStyle w:val="2"/>
        <w:spacing w:line="301" w:lineRule="auto"/>
      </w:pPr>
    </w:p>
    <w:p w14:paraId="6C05B4B1">
      <w:pPr>
        <w:spacing w:before="68" w:line="220" w:lineRule="auto"/>
        <w:ind w:left="3195"/>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40"/>
          <w:sz w:val="21"/>
          <w:szCs w:val="21"/>
        </w:rPr>
        <w:t xml:space="preserve"> </w:t>
      </w:r>
      <w:r>
        <w:rPr>
          <w:rFonts w:ascii="Times New Roman" w:hAnsi="Times New Roman" w:eastAsia="Times New Roman" w:cs="Times New Roman"/>
          <w:strike/>
          <w:spacing w:val="-1"/>
          <w:sz w:val="21"/>
          <w:szCs w:val="21"/>
        </w:rPr>
        <w:t xml:space="preserve">3.0.5    </w:t>
      </w:r>
      <w:r>
        <w:rPr>
          <w:rFonts w:ascii="宋体" w:hAnsi="宋体" w:eastAsia="宋体" w:cs="宋体"/>
          <w:strike/>
          <w:spacing w:val="-1"/>
          <w:sz w:val="21"/>
          <w:szCs w:val="21"/>
        </w:rPr>
        <w:t>屋面防水等级和设防要求</w:t>
      </w:r>
    </w:p>
    <w:p w14:paraId="59CB021A">
      <w:pPr>
        <w:spacing w:line="89"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93"/>
        <w:gridCol w:w="3188"/>
        <w:gridCol w:w="3194"/>
      </w:tblGrid>
      <w:tr w14:paraId="7DD02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3193" w:type="dxa"/>
            <w:vAlign w:val="top"/>
          </w:tcPr>
          <w:p w14:paraId="6F58382B">
            <w:pPr>
              <w:pStyle w:val="6"/>
              <w:spacing w:before="176" w:line="220" w:lineRule="auto"/>
              <w:ind w:left="1196"/>
            </w:pPr>
            <w:r>
              <w:rPr>
                <w:spacing w:val="-5"/>
              </w:rPr>
              <w:t>防水等级</w:t>
            </w:r>
          </w:p>
        </w:tc>
        <w:tc>
          <w:tcPr>
            <w:tcW w:w="3188" w:type="dxa"/>
            <w:vAlign w:val="top"/>
          </w:tcPr>
          <w:p w14:paraId="5DC15E5D">
            <w:pPr>
              <w:pStyle w:val="6"/>
              <w:spacing w:before="176" w:line="220" w:lineRule="auto"/>
              <w:ind w:left="1182"/>
            </w:pPr>
            <w:r>
              <w:rPr>
                <w:spacing w:val="-3"/>
              </w:rPr>
              <w:t>建筑类别</w:t>
            </w:r>
          </w:p>
        </w:tc>
        <w:tc>
          <w:tcPr>
            <w:tcW w:w="3194" w:type="dxa"/>
            <w:vAlign w:val="top"/>
          </w:tcPr>
          <w:p w14:paraId="0B72340C">
            <w:pPr>
              <w:pStyle w:val="6"/>
              <w:spacing w:before="177" w:line="220" w:lineRule="auto"/>
              <w:ind w:left="1185"/>
            </w:pPr>
            <w:r>
              <w:rPr>
                <w:spacing w:val="-3"/>
              </w:rPr>
              <w:t>设防要求</w:t>
            </w:r>
          </w:p>
        </w:tc>
      </w:tr>
      <w:tr w14:paraId="412FD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3193" w:type="dxa"/>
            <w:vAlign w:val="top"/>
          </w:tcPr>
          <w:p w14:paraId="4DF2B52D">
            <w:pPr>
              <w:pStyle w:val="6"/>
              <w:spacing w:before="173" w:line="222" w:lineRule="auto"/>
              <w:ind w:left="1460"/>
            </w:pPr>
            <w:r>
              <w:rPr>
                <w:spacing w:val="-20"/>
              </w:rPr>
              <w:t>Ⅰ级</w:t>
            </w:r>
          </w:p>
        </w:tc>
        <w:tc>
          <w:tcPr>
            <w:tcW w:w="3188" w:type="dxa"/>
            <w:vAlign w:val="top"/>
          </w:tcPr>
          <w:p w14:paraId="0ED41EED">
            <w:pPr>
              <w:pStyle w:val="6"/>
              <w:spacing w:before="173" w:line="220" w:lineRule="auto"/>
              <w:ind w:left="654"/>
            </w:pPr>
            <w:r>
              <w:rPr>
                <w:spacing w:val="-1"/>
              </w:rPr>
              <w:t>重要建筑和高层建筑</w:t>
            </w:r>
          </w:p>
        </w:tc>
        <w:tc>
          <w:tcPr>
            <w:tcW w:w="3194" w:type="dxa"/>
            <w:vAlign w:val="top"/>
          </w:tcPr>
          <w:p w14:paraId="4B022F2B">
            <w:pPr>
              <w:pStyle w:val="6"/>
              <w:spacing w:before="173" w:line="220" w:lineRule="auto"/>
              <w:ind w:left="973"/>
            </w:pPr>
            <w:r>
              <w:rPr>
                <w:spacing w:val="-2"/>
              </w:rPr>
              <w:t>两道防水设防</w:t>
            </w:r>
          </w:p>
        </w:tc>
      </w:tr>
      <w:tr w14:paraId="775AE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3193" w:type="dxa"/>
            <w:vAlign w:val="top"/>
          </w:tcPr>
          <w:p w14:paraId="70F79D3A">
            <w:pPr>
              <w:pStyle w:val="6"/>
              <w:spacing w:before="175" w:line="222" w:lineRule="auto"/>
              <w:ind w:left="1428"/>
            </w:pPr>
            <w:r>
              <w:rPr>
                <w:spacing w:val="-12"/>
              </w:rPr>
              <w:t>Ⅱ级</w:t>
            </w:r>
          </w:p>
        </w:tc>
        <w:tc>
          <w:tcPr>
            <w:tcW w:w="3188" w:type="dxa"/>
            <w:vAlign w:val="top"/>
          </w:tcPr>
          <w:p w14:paraId="149350BE">
            <w:pPr>
              <w:pStyle w:val="6"/>
              <w:spacing w:before="175" w:line="220" w:lineRule="auto"/>
              <w:ind w:left="1182"/>
            </w:pPr>
            <w:r>
              <w:rPr>
                <w:spacing w:val="-3"/>
              </w:rPr>
              <w:t>一般建筑</w:t>
            </w:r>
          </w:p>
        </w:tc>
        <w:tc>
          <w:tcPr>
            <w:tcW w:w="3194" w:type="dxa"/>
            <w:vAlign w:val="top"/>
          </w:tcPr>
          <w:p w14:paraId="0054AEBD">
            <w:pPr>
              <w:pStyle w:val="6"/>
              <w:spacing w:before="174" w:line="220" w:lineRule="auto"/>
              <w:ind w:left="975"/>
            </w:pPr>
            <w:r>
              <w:rPr>
                <w:spacing w:val="-2"/>
              </w:rPr>
              <w:t>一道防水设防</w:t>
            </w:r>
          </w:p>
        </w:tc>
      </w:tr>
    </w:tbl>
    <w:p w14:paraId="367000D3">
      <w:pPr>
        <w:spacing w:before="146" w:line="219" w:lineRule="auto"/>
        <w:ind w:left="258"/>
        <w:rPr>
          <w:rFonts w:ascii="宋体" w:hAnsi="宋体" w:eastAsia="宋体" w:cs="宋体"/>
          <w:sz w:val="24"/>
          <w:szCs w:val="24"/>
        </w:rPr>
      </w:pPr>
      <w:r>
        <w:rPr>
          <w:rFonts w:ascii="Times New Roman" w:hAnsi="Times New Roman" w:eastAsia="Times New Roman" w:cs="Times New Roman"/>
          <w:strike/>
          <w:spacing w:val="-1"/>
          <w:sz w:val="24"/>
          <w:szCs w:val="24"/>
        </w:rPr>
        <w:t xml:space="preserve">4.5.1    </w:t>
      </w:r>
      <w:r>
        <w:rPr>
          <w:rFonts w:ascii="宋体" w:hAnsi="宋体" w:eastAsia="宋体" w:cs="宋体"/>
          <w:strike/>
          <w:spacing w:val="-1"/>
          <w:sz w:val="24"/>
          <w:szCs w:val="24"/>
        </w:rPr>
        <w:t>卷材、涂膜屋面防水等级和防水做法应符合表</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4.5.1</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16C7A4BE">
      <w:pPr>
        <w:spacing w:before="180" w:line="219" w:lineRule="auto"/>
        <w:ind w:left="2671"/>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5"/>
          <w:sz w:val="21"/>
          <w:szCs w:val="21"/>
        </w:rPr>
        <w:t xml:space="preserve"> </w:t>
      </w:r>
      <w:r>
        <w:rPr>
          <w:rFonts w:ascii="Times New Roman" w:hAnsi="Times New Roman" w:eastAsia="Times New Roman" w:cs="Times New Roman"/>
          <w:strike/>
          <w:spacing w:val="-1"/>
          <w:sz w:val="21"/>
          <w:szCs w:val="21"/>
        </w:rPr>
        <w:t xml:space="preserve">4.5.1    </w:t>
      </w:r>
      <w:r>
        <w:rPr>
          <w:rFonts w:ascii="宋体" w:hAnsi="宋体" w:eastAsia="宋体" w:cs="宋体"/>
          <w:strike/>
          <w:spacing w:val="-1"/>
          <w:sz w:val="21"/>
          <w:szCs w:val="21"/>
        </w:rPr>
        <w:t>卷材、涂膜屋面防水等级和防水做法</w:t>
      </w:r>
    </w:p>
    <w:p w14:paraId="1ED780BA">
      <w:pPr>
        <w:spacing w:line="19"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4"/>
        <w:gridCol w:w="7601"/>
      </w:tblGrid>
      <w:tr w14:paraId="55C020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974" w:type="dxa"/>
            <w:vAlign w:val="top"/>
          </w:tcPr>
          <w:p w14:paraId="23E07BAC">
            <w:pPr>
              <w:pStyle w:val="6"/>
              <w:spacing w:before="112" w:line="220" w:lineRule="auto"/>
              <w:ind w:left="586"/>
            </w:pPr>
            <w:r>
              <w:rPr>
                <w:spacing w:val="-5"/>
              </w:rPr>
              <w:t>防水等级</w:t>
            </w:r>
          </w:p>
        </w:tc>
        <w:tc>
          <w:tcPr>
            <w:tcW w:w="7601" w:type="dxa"/>
            <w:vAlign w:val="top"/>
          </w:tcPr>
          <w:p w14:paraId="4961D382">
            <w:pPr>
              <w:pStyle w:val="6"/>
              <w:spacing w:before="112" w:line="220" w:lineRule="auto"/>
              <w:ind w:left="3398"/>
            </w:pPr>
            <w:r>
              <w:rPr>
                <w:spacing w:val="-5"/>
              </w:rPr>
              <w:t>防水做法</w:t>
            </w:r>
          </w:p>
        </w:tc>
      </w:tr>
      <w:tr w14:paraId="6262D7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974" w:type="dxa"/>
            <w:vAlign w:val="top"/>
          </w:tcPr>
          <w:p w14:paraId="19086F07">
            <w:pPr>
              <w:pStyle w:val="6"/>
              <w:spacing w:before="110" w:line="222" w:lineRule="auto"/>
              <w:ind w:left="851"/>
            </w:pPr>
            <w:r>
              <w:rPr>
                <w:spacing w:val="-20"/>
              </w:rPr>
              <w:t>Ⅰ级</w:t>
            </w:r>
          </w:p>
        </w:tc>
        <w:tc>
          <w:tcPr>
            <w:tcW w:w="7601" w:type="dxa"/>
            <w:vAlign w:val="top"/>
          </w:tcPr>
          <w:p w14:paraId="0992C5B0">
            <w:pPr>
              <w:pStyle w:val="6"/>
              <w:spacing w:before="110" w:line="219" w:lineRule="auto"/>
              <w:ind w:left="760"/>
            </w:pPr>
            <w:r>
              <w:rPr>
                <w:spacing w:val="-1"/>
              </w:rPr>
              <w:t>卷材防水层和卷材防水层、卷材防水层和涂膜防水层、复合防水层</w:t>
            </w:r>
          </w:p>
        </w:tc>
      </w:tr>
      <w:tr w14:paraId="0DB0A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974" w:type="dxa"/>
            <w:vAlign w:val="top"/>
          </w:tcPr>
          <w:p w14:paraId="64826D20">
            <w:pPr>
              <w:pStyle w:val="6"/>
              <w:spacing w:before="110" w:line="222" w:lineRule="auto"/>
              <w:ind w:left="819"/>
            </w:pPr>
            <w:r>
              <w:rPr>
                <w:spacing w:val="-12"/>
              </w:rPr>
              <w:t>Ⅱ级</w:t>
            </w:r>
          </w:p>
        </w:tc>
        <w:tc>
          <w:tcPr>
            <w:tcW w:w="7601" w:type="dxa"/>
            <w:vAlign w:val="top"/>
          </w:tcPr>
          <w:p w14:paraId="1CC3C9AB">
            <w:pPr>
              <w:pStyle w:val="6"/>
              <w:spacing w:before="110" w:line="219" w:lineRule="auto"/>
              <w:ind w:left="2020"/>
            </w:pPr>
            <w:r>
              <w:rPr>
                <w:spacing w:val="-1"/>
              </w:rPr>
              <w:t>卷材防水层、涂膜防水层、复合防水层</w:t>
            </w:r>
          </w:p>
        </w:tc>
      </w:tr>
    </w:tbl>
    <w:p w14:paraId="1F0CF982">
      <w:pPr>
        <w:spacing w:before="128" w:line="405" w:lineRule="auto"/>
        <w:ind w:left="267" w:right="296" w:firstLine="414"/>
        <w:rPr>
          <w:rFonts w:ascii="宋体" w:hAnsi="宋体" w:eastAsia="宋体" w:cs="宋体"/>
          <w:sz w:val="21"/>
          <w:szCs w:val="21"/>
        </w:rPr>
      </w:pPr>
      <w:r>
        <w:rPr>
          <w:rFonts w:ascii="宋体" w:hAnsi="宋体" w:eastAsia="宋体" w:cs="宋体"/>
          <w:strike/>
          <w:sz w:val="21"/>
          <w:szCs w:val="21"/>
        </w:rPr>
        <w:t>注：在Ⅰ级屋面防水做法中，防水层仅作单层卷材时，应符合有关单层</w:t>
      </w:r>
      <w:r>
        <w:rPr>
          <w:rFonts w:ascii="宋体" w:hAnsi="宋体" w:eastAsia="宋体" w:cs="宋体"/>
          <w:strike/>
          <w:spacing w:val="-1"/>
          <w:sz w:val="21"/>
          <w:szCs w:val="21"/>
        </w:rPr>
        <w:t>防水卷材屋面技术的规</w:t>
      </w:r>
      <w:r>
        <w:rPr>
          <w:rFonts w:ascii="宋体" w:hAnsi="宋体" w:eastAsia="宋体" w:cs="宋体"/>
          <w:sz w:val="21"/>
          <w:szCs w:val="21"/>
        </w:rPr>
        <w:t xml:space="preserve"> </w:t>
      </w:r>
      <w:r>
        <w:rPr>
          <w:rFonts w:ascii="宋体" w:hAnsi="宋体" w:eastAsia="宋体" w:cs="宋体"/>
          <w:strike/>
          <w:spacing w:val="-4"/>
          <w:sz w:val="21"/>
          <w:szCs w:val="21"/>
        </w:rPr>
        <w:t>定。</w:t>
      </w:r>
    </w:p>
    <w:p w14:paraId="165F1BCE">
      <w:pPr>
        <w:spacing w:before="1" w:line="218" w:lineRule="auto"/>
        <w:ind w:left="258"/>
        <w:rPr>
          <w:rFonts w:ascii="宋体" w:hAnsi="宋体" w:eastAsia="宋体" w:cs="宋体"/>
          <w:sz w:val="24"/>
          <w:szCs w:val="24"/>
        </w:rPr>
      </w:pPr>
      <w:r>
        <w:rPr>
          <w:rFonts w:ascii="Times New Roman" w:hAnsi="Times New Roman" w:eastAsia="Times New Roman" w:cs="Times New Roman"/>
          <w:strike/>
          <w:spacing w:val="-1"/>
          <w:sz w:val="24"/>
          <w:szCs w:val="24"/>
        </w:rPr>
        <w:t xml:space="preserve">4.5.5    </w:t>
      </w:r>
      <w:r>
        <w:rPr>
          <w:rFonts w:ascii="宋体" w:hAnsi="宋体" w:eastAsia="宋体" w:cs="宋体"/>
          <w:strike/>
          <w:spacing w:val="-1"/>
          <w:sz w:val="24"/>
          <w:szCs w:val="24"/>
        </w:rPr>
        <w:t>每道卷材防水层最小厚度应符合表</w:t>
      </w:r>
      <w:r>
        <w:rPr>
          <w:rFonts w:ascii="宋体" w:hAnsi="宋体" w:eastAsia="宋体" w:cs="宋体"/>
          <w:strike/>
          <w:spacing w:val="-54"/>
          <w:sz w:val="24"/>
          <w:szCs w:val="24"/>
        </w:rPr>
        <w:t xml:space="preserve"> </w:t>
      </w:r>
      <w:r>
        <w:rPr>
          <w:rFonts w:ascii="Times New Roman" w:hAnsi="Times New Roman" w:eastAsia="Times New Roman" w:cs="Times New Roman"/>
          <w:strike/>
          <w:spacing w:val="-1"/>
          <w:sz w:val="24"/>
          <w:szCs w:val="24"/>
        </w:rPr>
        <w:t>4.5.5</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750FB9C0">
      <w:pPr>
        <w:spacing w:before="198" w:line="219" w:lineRule="auto"/>
        <w:ind w:left="2950"/>
        <w:rPr>
          <w:rFonts w:ascii="宋体" w:hAnsi="宋体" w:eastAsia="宋体" w:cs="宋体"/>
          <w:sz w:val="21"/>
          <w:szCs w:val="21"/>
        </w:rPr>
      </w:pPr>
      <w:r>
        <w:rPr>
          <w:rFonts w:ascii="Times New Roman" w:hAnsi="Times New Roman" w:eastAsia="Times New Roman" w:cs="Times New Roman"/>
          <w:strike/>
          <w:sz w:val="21"/>
          <w:szCs w:val="21"/>
        </w:rPr>
        <w:t>4</w:t>
      </w:r>
      <w:r>
        <w:rPr>
          <w:rFonts w:ascii="Times New Roman" w:hAnsi="Times New Roman" w:eastAsia="Times New Roman" w:cs="Times New Roman"/>
          <w:sz w:val="21"/>
          <w:szCs w:val="21"/>
        </w:rPr>
        <w:t>.</w:t>
      </w:r>
      <w:r>
        <w:rPr>
          <w:rFonts w:ascii="Times New Roman" w:hAnsi="Times New Roman" w:eastAsia="Times New Roman" w:cs="Times New Roman"/>
          <w:strike/>
          <w:sz w:val="21"/>
          <w:szCs w:val="21"/>
        </w:rPr>
        <w:t xml:space="preserve">5.5    </w:t>
      </w:r>
      <w:r>
        <w:rPr>
          <w:rFonts w:ascii="宋体" w:hAnsi="宋体" w:eastAsia="宋体" w:cs="宋体"/>
          <w:strike/>
          <w:sz w:val="21"/>
          <w:szCs w:val="21"/>
        </w:rPr>
        <w:t>每道卷材防水层最小厚</w:t>
      </w:r>
      <w:r>
        <w:rPr>
          <w:rFonts w:ascii="宋体" w:hAnsi="宋体" w:eastAsia="宋体" w:cs="宋体"/>
          <w:strike/>
          <w:spacing w:val="-1"/>
          <w:sz w:val="21"/>
          <w:szCs w:val="21"/>
        </w:rPr>
        <w:t>度（</w:t>
      </w:r>
      <w:r>
        <w:rPr>
          <w:rFonts w:ascii="Times New Roman" w:hAnsi="Times New Roman" w:eastAsia="Times New Roman" w:cs="Times New Roman"/>
          <w:strike/>
          <w:spacing w:val="-1"/>
          <w:sz w:val="21"/>
          <w:szCs w:val="21"/>
        </w:rPr>
        <w:t>mm</w:t>
      </w:r>
      <w:r>
        <w:rPr>
          <w:rFonts w:ascii="Times New Roman" w:hAnsi="Times New Roman" w:eastAsia="Times New Roman" w:cs="Times New Roman"/>
          <w:strike/>
          <w:spacing w:val="-22"/>
          <w:sz w:val="21"/>
          <w:szCs w:val="21"/>
        </w:rPr>
        <w:t xml:space="preserve"> </w:t>
      </w:r>
      <w:r>
        <w:rPr>
          <w:rFonts w:ascii="宋体" w:hAnsi="宋体" w:eastAsia="宋体" w:cs="宋体"/>
          <w:strike/>
          <w:spacing w:val="-1"/>
          <w:sz w:val="21"/>
          <w:szCs w:val="21"/>
        </w:rPr>
        <w:t>）</w:t>
      </w:r>
    </w:p>
    <w:p w14:paraId="6A80D6DE">
      <w:pPr>
        <w:spacing w:line="90"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5"/>
        <w:gridCol w:w="2158"/>
        <w:gridCol w:w="2713"/>
        <w:gridCol w:w="1660"/>
        <w:gridCol w:w="1919"/>
      </w:tblGrid>
      <w:tr w14:paraId="3ACFA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125" w:type="dxa"/>
            <w:vMerge w:val="restart"/>
            <w:tcBorders>
              <w:bottom w:val="nil"/>
            </w:tcBorders>
            <w:vAlign w:val="top"/>
          </w:tcPr>
          <w:p w14:paraId="289B23C1">
            <w:pPr>
              <w:spacing w:line="423" w:lineRule="auto"/>
              <w:rPr>
                <w:rFonts w:ascii="Arial"/>
                <w:sz w:val="21"/>
              </w:rPr>
            </w:pPr>
          </w:p>
          <w:p w14:paraId="53790EA0">
            <w:pPr>
              <w:pStyle w:val="6"/>
              <w:spacing w:before="68" w:line="220" w:lineRule="auto"/>
              <w:ind w:left="160"/>
            </w:pPr>
            <w:r>
              <w:rPr>
                <w:spacing w:val="-5"/>
              </w:rPr>
              <w:t>防水等级</w:t>
            </w:r>
          </w:p>
        </w:tc>
        <w:tc>
          <w:tcPr>
            <w:tcW w:w="2158" w:type="dxa"/>
            <w:vMerge w:val="restart"/>
            <w:tcBorders>
              <w:bottom w:val="nil"/>
            </w:tcBorders>
            <w:vAlign w:val="top"/>
          </w:tcPr>
          <w:p w14:paraId="2C76F519">
            <w:pPr>
              <w:spacing w:line="423" w:lineRule="auto"/>
              <w:rPr>
                <w:rFonts w:ascii="Arial"/>
                <w:sz w:val="21"/>
              </w:rPr>
            </w:pPr>
          </w:p>
          <w:p w14:paraId="5D699674">
            <w:pPr>
              <w:pStyle w:val="6"/>
              <w:spacing w:before="69" w:line="219" w:lineRule="auto"/>
              <w:ind w:left="137"/>
            </w:pPr>
            <w:r>
              <w:rPr>
                <w:spacing w:val="-1"/>
              </w:rPr>
              <w:t>合成高分子防水卷材</w:t>
            </w:r>
          </w:p>
        </w:tc>
        <w:tc>
          <w:tcPr>
            <w:tcW w:w="6292" w:type="dxa"/>
            <w:gridSpan w:val="3"/>
            <w:vAlign w:val="top"/>
          </w:tcPr>
          <w:p w14:paraId="54546AB7">
            <w:pPr>
              <w:pStyle w:val="6"/>
              <w:spacing w:before="211" w:line="219" w:lineRule="auto"/>
              <w:ind w:left="2001"/>
            </w:pPr>
            <w:r>
              <w:rPr>
                <w:spacing w:val="-2"/>
              </w:rPr>
              <w:t>高聚物改性沥青防水卷材</w:t>
            </w:r>
          </w:p>
        </w:tc>
      </w:tr>
      <w:tr w14:paraId="267AC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1125" w:type="dxa"/>
            <w:vMerge w:val="continue"/>
            <w:tcBorders>
              <w:top w:val="nil"/>
            </w:tcBorders>
            <w:vAlign w:val="top"/>
          </w:tcPr>
          <w:p w14:paraId="0D1DECFC">
            <w:pPr>
              <w:rPr>
                <w:rFonts w:ascii="Arial"/>
                <w:sz w:val="21"/>
              </w:rPr>
            </w:pPr>
          </w:p>
        </w:tc>
        <w:tc>
          <w:tcPr>
            <w:tcW w:w="2158" w:type="dxa"/>
            <w:vMerge w:val="continue"/>
            <w:tcBorders>
              <w:top w:val="nil"/>
            </w:tcBorders>
            <w:vAlign w:val="top"/>
          </w:tcPr>
          <w:p w14:paraId="2700EE1B">
            <w:pPr>
              <w:rPr>
                <w:rFonts w:ascii="Arial"/>
                <w:sz w:val="21"/>
              </w:rPr>
            </w:pPr>
          </w:p>
        </w:tc>
        <w:tc>
          <w:tcPr>
            <w:tcW w:w="2713" w:type="dxa"/>
            <w:vAlign w:val="top"/>
          </w:tcPr>
          <w:p w14:paraId="580EF3EF">
            <w:pPr>
              <w:pStyle w:val="6"/>
              <w:spacing w:before="108" w:line="220" w:lineRule="auto"/>
              <w:ind w:left="214"/>
            </w:pPr>
            <w:r>
              <w:rPr>
                <w:spacing w:val="-2"/>
              </w:rPr>
              <w:t>聚酯胎、玻纤胎、聚乙烯</w:t>
            </w:r>
          </w:p>
        </w:tc>
        <w:tc>
          <w:tcPr>
            <w:tcW w:w="1660" w:type="dxa"/>
            <w:vAlign w:val="top"/>
          </w:tcPr>
          <w:p w14:paraId="038FC87A">
            <w:pPr>
              <w:pStyle w:val="6"/>
              <w:spacing w:before="206" w:line="220" w:lineRule="auto"/>
              <w:ind w:left="346"/>
            </w:pPr>
            <w:r>
              <w:rPr>
                <w:spacing w:val="-7"/>
              </w:rPr>
              <w:t>自粘聚酯胎</w:t>
            </w:r>
          </w:p>
        </w:tc>
        <w:tc>
          <w:tcPr>
            <w:tcW w:w="1919" w:type="dxa"/>
            <w:vAlign w:val="top"/>
          </w:tcPr>
          <w:p w14:paraId="1F4082B8">
            <w:pPr>
              <w:pStyle w:val="6"/>
              <w:spacing w:before="206" w:line="220" w:lineRule="auto"/>
              <w:ind w:left="580"/>
            </w:pPr>
            <w:r>
              <w:rPr>
                <w:spacing w:val="-8"/>
              </w:rPr>
              <w:t>自粘无胎</w:t>
            </w:r>
          </w:p>
        </w:tc>
      </w:tr>
      <w:tr w14:paraId="73518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125" w:type="dxa"/>
            <w:vAlign w:val="top"/>
          </w:tcPr>
          <w:p w14:paraId="43401A5F">
            <w:pPr>
              <w:pStyle w:val="6"/>
              <w:spacing w:before="209" w:line="222" w:lineRule="auto"/>
              <w:ind w:left="425"/>
            </w:pPr>
            <w:r>
              <w:rPr>
                <w:spacing w:val="-20"/>
              </w:rPr>
              <w:t>Ⅰ级</w:t>
            </w:r>
          </w:p>
        </w:tc>
        <w:tc>
          <w:tcPr>
            <w:tcW w:w="2158" w:type="dxa"/>
            <w:vAlign w:val="top"/>
          </w:tcPr>
          <w:p w14:paraId="6CC5344B">
            <w:pPr>
              <w:spacing w:before="248" w:line="186" w:lineRule="auto"/>
              <w:ind w:left="967"/>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1.2</w:t>
            </w:r>
          </w:p>
        </w:tc>
        <w:tc>
          <w:tcPr>
            <w:tcW w:w="2713" w:type="dxa"/>
            <w:vAlign w:val="top"/>
          </w:tcPr>
          <w:p w14:paraId="3A17B868">
            <w:pPr>
              <w:spacing w:before="248" w:line="186" w:lineRule="auto"/>
              <w:ind w:left="1230"/>
              <w:rPr>
                <w:rFonts w:ascii="Times New Roman" w:hAnsi="Times New Roman" w:eastAsia="Times New Roman" w:cs="Times New Roman"/>
                <w:sz w:val="21"/>
                <w:szCs w:val="21"/>
              </w:rPr>
            </w:pPr>
            <w:r>
              <w:pict>
                <v:shape id="_x0000_s1034" o:spid="_x0000_s1034" o:spt="202" type="#_x0000_t202" style="position:absolute;left:0pt;margin-left:62pt;margin-top:-5.55pt;height:14.5pt;width:12.1pt;mso-position-horizontal-relative:page;mso-position-vertical-relative:page;z-index:251670528;mso-width-relative:page;mso-height-relative:page;" filled="f" stroked="f" coordsize="21600,21600">
                  <v:path/>
                  <v:fill on="f" focussize="0,0"/>
                  <v:stroke on="f"/>
                  <v:imagedata o:title=""/>
                  <o:lock v:ext="edit" aspectratio="f"/>
                  <v:textbox inset="0mm,0mm,0mm,0mm">
                    <w:txbxContent>
                      <w:p w14:paraId="1F158DA7">
                        <w:pPr>
                          <w:pStyle w:val="6"/>
                          <w:spacing w:before="19" w:line="220" w:lineRule="auto"/>
                          <w:ind w:left="20"/>
                        </w:pPr>
                        <w:r>
                          <w:t>胎</w:t>
                        </w:r>
                      </w:p>
                    </w:txbxContent>
                  </v:textbox>
                </v:shape>
              </w:pict>
            </w:r>
            <w:r>
              <w:rPr>
                <w:rFonts w:ascii="Times New Roman" w:hAnsi="Times New Roman" w:eastAsia="Times New Roman" w:cs="Times New Roman"/>
                <w:spacing w:val="-3"/>
                <w:sz w:val="21"/>
                <w:szCs w:val="21"/>
              </w:rPr>
              <w:t>3.0</w:t>
            </w:r>
          </w:p>
        </w:tc>
        <w:tc>
          <w:tcPr>
            <w:tcW w:w="1660" w:type="dxa"/>
            <w:vAlign w:val="top"/>
          </w:tcPr>
          <w:p w14:paraId="283EAC66">
            <w:pPr>
              <w:spacing w:before="248" w:line="186" w:lineRule="auto"/>
              <w:ind w:left="70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w:t>
            </w:r>
          </w:p>
        </w:tc>
        <w:tc>
          <w:tcPr>
            <w:tcW w:w="1919" w:type="dxa"/>
            <w:vAlign w:val="top"/>
          </w:tcPr>
          <w:p w14:paraId="17C86EA3">
            <w:pPr>
              <w:spacing w:before="248" w:line="186" w:lineRule="auto"/>
              <w:ind w:left="849"/>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1.5</w:t>
            </w:r>
          </w:p>
        </w:tc>
      </w:tr>
      <w:tr w14:paraId="5046A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125" w:type="dxa"/>
            <w:vAlign w:val="top"/>
          </w:tcPr>
          <w:p w14:paraId="300487E5">
            <w:pPr>
              <w:pStyle w:val="6"/>
              <w:spacing w:before="209" w:line="222" w:lineRule="auto"/>
              <w:ind w:left="393"/>
            </w:pPr>
            <w:r>
              <w:rPr>
                <w:spacing w:val="-12"/>
              </w:rPr>
              <w:t>Ⅱ级</w:t>
            </w:r>
          </w:p>
        </w:tc>
        <w:tc>
          <w:tcPr>
            <w:tcW w:w="2158" w:type="dxa"/>
            <w:vAlign w:val="top"/>
          </w:tcPr>
          <w:p w14:paraId="14693C9F">
            <w:pPr>
              <w:spacing w:before="248" w:line="186" w:lineRule="auto"/>
              <w:ind w:left="967"/>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1.5</w:t>
            </w:r>
          </w:p>
        </w:tc>
        <w:tc>
          <w:tcPr>
            <w:tcW w:w="2713" w:type="dxa"/>
            <w:vAlign w:val="top"/>
          </w:tcPr>
          <w:p w14:paraId="1CEA1B94">
            <w:pPr>
              <w:spacing w:before="248" w:line="186" w:lineRule="auto"/>
              <w:ind w:left="12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660" w:type="dxa"/>
            <w:vAlign w:val="top"/>
          </w:tcPr>
          <w:p w14:paraId="3E227FF3">
            <w:pPr>
              <w:spacing w:before="248" w:line="186"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919" w:type="dxa"/>
            <w:vAlign w:val="top"/>
          </w:tcPr>
          <w:p w14:paraId="40FE8060">
            <w:pPr>
              <w:spacing w:before="248" w:line="186" w:lineRule="auto"/>
              <w:ind w:left="8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w:t>
            </w:r>
          </w:p>
        </w:tc>
      </w:tr>
    </w:tbl>
    <w:p w14:paraId="2912E80C">
      <w:pPr>
        <w:spacing w:before="114" w:line="220" w:lineRule="auto"/>
        <w:ind w:left="258"/>
        <w:rPr>
          <w:rFonts w:ascii="宋体" w:hAnsi="宋体" w:eastAsia="宋体" w:cs="宋体"/>
          <w:sz w:val="24"/>
          <w:szCs w:val="24"/>
        </w:rPr>
      </w:pPr>
      <w:r>
        <w:rPr>
          <w:rFonts w:ascii="Times New Roman" w:hAnsi="Times New Roman" w:eastAsia="Times New Roman" w:cs="Times New Roman"/>
          <w:strike/>
          <w:spacing w:val="-1"/>
          <w:sz w:val="24"/>
          <w:szCs w:val="24"/>
        </w:rPr>
        <w:t xml:space="preserve">4.5.6    </w:t>
      </w:r>
      <w:r>
        <w:rPr>
          <w:rFonts w:ascii="宋体" w:hAnsi="宋体" w:eastAsia="宋体" w:cs="宋体"/>
          <w:strike/>
          <w:spacing w:val="-1"/>
          <w:sz w:val="24"/>
          <w:szCs w:val="24"/>
        </w:rPr>
        <w:t>每道涂膜防水层最小厚度应符合表</w:t>
      </w:r>
      <w:r>
        <w:rPr>
          <w:rFonts w:ascii="宋体" w:hAnsi="宋体" w:eastAsia="宋体" w:cs="宋体"/>
          <w:strike/>
          <w:spacing w:val="-54"/>
          <w:sz w:val="24"/>
          <w:szCs w:val="24"/>
        </w:rPr>
        <w:t xml:space="preserve"> </w:t>
      </w:r>
      <w:r>
        <w:rPr>
          <w:rFonts w:ascii="Times New Roman" w:hAnsi="Times New Roman" w:eastAsia="Times New Roman" w:cs="Times New Roman"/>
          <w:strike/>
          <w:spacing w:val="-1"/>
          <w:sz w:val="24"/>
          <w:szCs w:val="24"/>
        </w:rPr>
        <w:t>4.5.6</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69D10130">
      <w:pPr>
        <w:spacing w:before="197" w:line="220" w:lineRule="auto"/>
        <w:ind w:left="2822"/>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6"/>
          <w:sz w:val="21"/>
          <w:szCs w:val="21"/>
        </w:rPr>
        <w:t xml:space="preserve"> </w:t>
      </w:r>
      <w:r>
        <w:rPr>
          <w:rFonts w:ascii="Times New Roman" w:hAnsi="Times New Roman" w:eastAsia="Times New Roman" w:cs="Times New Roman"/>
          <w:strike/>
          <w:spacing w:val="-1"/>
          <w:sz w:val="21"/>
          <w:szCs w:val="21"/>
        </w:rPr>
        <w:t xml:space="preserve">4.5.6    </w:t>
      </w:r>
      <w:r>
        <w:rPr>
          <w:rFonts w:ascii="宋体" w:hAnsi="宋体" w:eastAsia="宋体" w:cs="宋体"/>
          <w:strike/>
          <w:spacing w:val="-1"/>
          <w:sz w:val="21"/>
          <w:szCs w:val="21"/>
        </w:rPr>
        <w:t>每道涂膜防水层最小厚度（</w:t>
      </w:r>
      <w:r>
        <w:rPr>
          <w:rFonts w:ascii="Times New Roman" w:hAnsi="Times New Roman" w:eastAsia="Times New Roman" w:cs="Times New Roman"/>
          <w:strike/>
          <w:spacing w:val="-1"/>
          <w:sz w:val="21"/>
          <w:szCs w:val="21"/>
        </w:rPr>
        <w:t>mm</w:t>
      </w:r>
      <w:r>
        <w:rPr>
          <w:rFonts w:ascii="Times New Roman" w:hAnsi="Times New Roman" w:eastAsia="Times New Roman" w:cs="Times New Roman"/>
          <w:strike/>
          <w:spacing w:val="-22"/>
          <w:sz w:val="21"/>
          <w:szCs w:val="21"/>
        </w:rPr>
        <w:t xml:space="preserve"> </w:t>
      </w:r>
      <w:r>
        <w:rPr>
          <w:rFonts w:ascii="宋体" w:hAnsi="宋体" w:eastAsia="宋体" w:cs="宋体"/>
          <w:strike/>
          <w:spacing w:val="-1"/>
          <w:sz w:val="21"/>
          <w:szCs w:val="21"/>
        </w:rPr>
        <w:t>）</w:t>
      </w:r>
    </w:p>
    <w:p w14:paraId="65B6FAD1">
      <w:pPr>
        <w:spacing w:line="89"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4"/>
        <w:gridCol w:w="2414"/>
        <w:gridCol w:w="2533"/>
        <w:gridCol w:w="2954"/>
      </w:tblGrid>
      <w:tr w14:paraId="0A8F4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674" w:type="dxa"/>
            <w:vAlign w:val="top"/>
          </w:tcPr>
          <w:p w14:paraId="46AC9096">
            <w:pPr>
              <w:pStyle w:val="6"/>
              <w:spacing w:before="112" w:line="220" w:lineRule="auto"/>
              <w:ind w:left="436"/>
            </w:pPr>
            <w:r>
              <w:rPr>
                <w:spacing w:val="-5"/>
              </w:rPr>
              <w:t>防水等级</w:t>
            </w:r>
          </w:p>
        </w:tc>
        <w:tc>
          <w:tcPr>
            <w:tcW w:w="2414" w:type="dxa"/>
            <w:vAlign w:val="top"/>
          </w:tcPr>
          <w:p w14:paraId="117F4377">
            <w:pPr>
              <w:pStyle w:val="6"/>
              <w:spacing w:before="112" w:line="220" w:lineRule="auto"/>
              <w:ind w:left="268"/>
            </w:pPr>
            <w:r>
              <w:rPr>
                <w:spacing w:val="-1"/>
              </w:rPr>
              <w:t>合成高分子防水涂膜</w:t>
            </w:r>
          </w:p>
        </w:tc>
        <w:tc>
          <w:tcPr>
            <w:tcW w:w="2533" w:type="dxa"/>
            <w:vAlign w:val="top"/>
          </w:tcPr>
          <w:p w14:paraId="2C7BCD31">
            <w:pPr>
              <w:pStyle w:val="6"/>
              <w:spacing w:before="112" w:line="220" w:lineRule="auto"/>
              <w:ind w:left="335"/>
            </w:pPr>
            <w:r>
              <w:rPr>
                <w:spacing w:val="-2"/>
              </w:rPr>
              <w:t>聚合物水泥防水涂膜</w:t>
            </w:r>
          </w:p>
        </w:tc>
        <w:tc>
          <w:tcPr>
            <w:tcW w:w="2954" w:type="dxa"/>
            <w:vAlign w:val="top"/>
          </w:tcPr>
          <w:p w14:paraId="1BAF0E34">
            <w:pPr>
              <w:pStyle w:val="6"/>
              <w:spacing w:before="113" w:line="219" w:lineRule="auto"/>
              <w:ind w:left="333"/>
            </w:pPr>
            <w:r>
              <w:rPr>
                <w:spacing w:val="-2"/>
              </w:rPr>
              <w:t>高聚物改性沥青防水涂膜</w:t>
            </w:r>
          </w:p>
        </w:tc>
      </w:tr>
      <w:tr w14:paraId="5C435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674" w:type="dxa"/>
            <w:vAlign w:val="top"/>
          </w:tcPr>
          <w:p w14:paraId="658484F5">
            <w:pPr>
              <w:pStyle w:val="6"/>
              <w:spacing w:before="110" w:line="222" w:lineRule="auto"/>
              <w:ind w:left="701"/>
            </w:pPr>
            <w:r>
              <w:rPr>
                <w:spacing w:val="-20"/>
              </w:rPr>
              <w:t>Ⅰ级</w:t>
            </w:r>
          </w:p>
        </w:tc>
        <w:tc>
          <w:tcPr>
            <w:tcW w:w="2414" w:type="dxa"/>
            <w:vAlign w:val="top"/>
          </w:tcPr>
          <w:p w14:paraId="4741D256">
            <w:pPr>
              <w:spacing w:before="148" w:line="186" w:lineRule="auto"/>
              <w:ind w:left="1097"/>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1.5</w:t>
            </w:r>
          </w:p>
        </w:tc>
        <w:tc>
          <w:tcPr>
            <w:tcW w:w="2533" w:type="dxa"/>
            <w:vAlign w:val="top"/>
          </w:tcPr>
          <w:p w14:paraId="7F6ADA6D">
            <w:pPr>
              <w:spacing w:before="148" w:line="186" w:lineRule="auto"/>
              <w:ind w:left="1157"/>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1.5</w:t>
            </w:r>
          </w:p>
        </w:tc>
        <w:tc>
          <w:tcPr>
            <w:tcW w:w="2954" w:type="dxa"/>
            <w:vAlign w:val="top"/>
          </w:tcPr>
          <w:p w14:paraId="26C42442">
            <w:pPr>
              <w:spacing w:before="148" w:line="186" w:lineRule="auto"/>
              <w:ind w:left="134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w:t>
            </w:r>
          </w:p>
        </w:tc>
      </w:tr>
      <w:tr w14:paraId="0FED3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674" w:type="dxa"/>
            <w:vAlign w:val="top"/>
          </w:tcPr>
          <w:p w14:paraId="20D3CD0C">
            <w:pPr>
              <w:pStyle w:val="6"/>
              <w:spacing w:before="112" w:line="222" w:lineRule="auto"/>
              <w:ind w:left="669"/>
            </w:pPr>
            <w:r>
              <w:rPr>
                <w:spacing w:val="-12"/>
              </w:rPr>
              <w:t>Ⅱ级</w:t>
            </w:r>
          </w:p>
        </w:tc>
        <w:tc>
          <w:tcPr>
            <w:tcW w:w="2414" w:type="dxa"/>
            <w:vAlign w:val="top"/>
          </w:tcPr>
          <w:p w14:paraId="7C1A2F4C">
            <w:pPr>
              <w:spacing w:before="150" w:line="186" w:lineRule="auto"/>
              <w:ind w:left="107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w:t>
            </w:r>
          </w:p>
        </w:tc>
        <w:tc>
          <w:tcPr>
            <w:tcW w:w="2533" w:type="dxa"/>
            <w:vAlign w:val="top"/>
          </w:tcPr>
          <w:p w14:paraId="7111B26C">
            <w:pPr>
              <w:spacing w:before="150" w:line="186" w:lineRule="auto"/>
              <w:ind w:left="11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w:t>
            </w:r>
          </w:p>
        </w:tc>
        <w:tc>
          <w:tcPr>
            <w:tcW w:w="2954" w:type="dxa"/>
            <w:vAlign w:val="top"/>
          </w:tcPr>
          <w:p w14:paraId="59E9E2F0">
            <w:pPr>
              <w:spacing w:before="150" w:line="186" w:lineRule="auto"/>
              <w:ind w:left="135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r>
    </w:tbl>
    <w:p w14:paraId="53B2AAEF">
      <w:pPr>
        <w:spacing w:before="114" w:line="220" w:lineRule="auto"/>
        <w:ind w:left="258"/>
        <w:rPr>
          <w:rFonts w:ascii="宋体" w:hAnsi="宋体" w:eastAsia="宋体" w:cs="宋体"/>
          <w:sz w:val="24"/>
          <w:szCs w:val="24"/>
        </w:rPr>
      </w:pPr>
      <w:r>
        <w:rPr>
          <w:rFonts w:ascii="Times New Roman" w:hAnsi="Times New Roman" w:eastAsia="Times New Roman" w:cs="Times New Roman"/>
          <w:strike/>
          <w:spacing w:val="-1"/>
          <w:sz w:val="24"/>
          <w:szCs w:val="24"/>
        </w:rPr>
        <w:t xml:space="preserve">4.5.7    </w:t>
      </w:r>
      <w:r>
        <w:rPr>
          <w:rFonts w:ascii="宋体" w:hAnsi="宋体" w:eastAsia="宋体" w:cs="宋体"/>
          <w:strike/>
          <w:spacing w:val="-1"/>
          <w:sz w:val="24"/>
          <w:szCs w:val="24"/>
        </w:rPr>
        <w:t>复合防水层最小厚度应符合表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4.5.7</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035495B9">
      <w:pPr>
        <w:spacing w:before="197" w:line="220" w:lineRule="auto"/>
        <w:ind w:left="3405"/>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42"/>
          <w:sz w:val="21"/>
          <w:szCs w:val="21"/>
        </w:rPr>
        <w:t xml:space="preserve"> </w:t>
      </w:r>
      <w:r>
        <w:rPr>
          <w:rFonts w:ascii="Times New Roman" w:hAnsi="Times New Roman" w:eastAsia="Times New Roman" w:cs="Times New Roman"/>
          <w:strike/>
          <w:spacing w:val="-1"/>
          <w:sz w:val="21"/>
          <w:szCs w:val="21"/>
        </w:rPr>
        <w:t xml:space="preserve">4.5.7    </w:t>
      </w:r>
      <w:r>
        <w:rPr>
          <w:rFonts w:ascii="宋体" w:hAnsi="宋体" w:eastAsia="宋体" w:cs="宋体"/>
          <w:strike/>
          <w:spacing w:val="-1"/>
          <w:sz w:val="21"/>
          <w:szCs w:val="21"/>
        </w:rPr>
        <w:t>复合防水层最小厚度</w:t>
      </w:r>
    </w:p>
    <w:p w14:paraId="0B41D351">
      <w:pPr>
        <w:spacing w:line="89"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859"/>
        <w:gridCol w:w="2235"/>
        <w:gridCol w:w="1913"/>
        <w:gridCol w:w="1919"/>
      </w:tblGrid>
      <w:tr w14:paraId="5746A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6" w:hRule="atLeast"/>
        </w:trPr>
        <w:tc>
          <w:tcPr>
            <w:tcW w:w="1649" w:type="dxa"/>
            <w:vAlign w:val="top"/>
          </w:tcPr>
          <w:p w14:paraId="0DF5A100">
            <w:pPr>
              <w:spacing w:line="400" w:lineRule="auto"/>
              <w:rPr>
                <w:rFonts w:ascii="Arial"/>
                <w:sz w:val="21"/>
              </w:rPr>
            </w:pPr>
          </w:p>
          <w:p w14:paraId="2AB7AE4F">
            <w:pPr>
              <w:pStyle w:val="6"/>
              <w:spacing w:before="69" w:line="220" w:lineRule="auto"/>
              <w:ind w:left="423"/>
            </w:pPr>
            <w:r>
              <w:rPr>
                <w:spacing w:val="-5"/>
              </w:rPr>
              <w:t>防水等级</w:t>
            </w:r>
          </w:p>
        </w:tc>
        <w:tc>
          <w:tcPr>
            <w:tcW w:w="1859" w:type="dxa"/>
            <w:vAlign w:val="top"/>
          </w:tcPr>
          <w:p w14:paraId="36E5E89F">
            <w:pPr>
              <w:pStyle w:val="6"/>
              <w:spacing w:before="111" w:line="220" w:lineRule="auto"/>
              <w:ind w:left="199"/>
            </w:pPr>
            <w:r>
              <w:rPr>
                <w:spacing w:val="-2"/>
              </w:rPr>
              <w:t>合成高分子防水</w:t>
            </w:r>
          </w:p>
          <w:p w14:paraId="5828954F">
            <w:pPr>
              <w:pStyle w:val="6"/>
              <w:spacing w:before="110" w:line="219" w:lineRule="auto"/>
              <w:ind w:left="200"/>
            </w:pPr>
            <w:r>
              <w:rPr>
                <w:spacing w:val="-2"/>
              </w:rPr>
              <w:t>卷材＋合成高分</w:t>
            </w:r>
          </w:p>
          <w:p w14:paraId="7B9B1FC3">
            <w:pPr>
              <w:pStyle w:val="6"/>
              <w:spacing w:before="111" w:line="214" w:lineRule="auto"/>
              <w:ind w:left="409"/>
            </w:pPr>
            <w:r>
              <w:rPr>
                <w:spacing w:val="-2"/>
              </w:rPr>
              <w:t>子防水涂膜</w:t>
            </w:r>
          </w:p>
        </w:tc>
        <w:tc>
          <w:tcPr>
            <w:tcW w:w="2235" w:type="dxa"/>
            <w:vAlign w:val="top"/>
          </w:tcPr>
          <w:p w14:paraId="63431976">
            <w:pPr>
              <w:pStyle w:val="6"/>
              <w:spacing w:before="113" w:line="282" w:lineRule="auto"/>
              <w:ind w:left="178" w:right="170" w:firstLine="33"/>
              <w:jc w:val="both"/>
            </w:pPr>
            <w:r>
              <w:rPr>
                <w:spacing w:val="-5"/>
              </w:rPr>
              <w:t>自粘聚合物改性沥青</w:t>
            </w:r>
            <w:r>
              <w:rPr>
                <w:spacing w:val="1"/>
              </w:rPr>
              <w:t xml:space="preserve"> </w:t>
            </w:r>
            <w:r>
              <w:rPr>
                <w:spacing w:val="7"/>
              </w:rPr>
              <w:t>防水卷材（无胎）+</w:t>
            </w:r>
            <w:r>
              <w:rPr>
                <w:spacing w:val="4"/>
              </w:rPr>
              <w:t xml:space="preserve"> </w:t>
            </w:r>
            <w:r>
              <w:rPr>
                <w:spacing w:val="-2"/>
              </w:rPr>
              <w:t>合成高分子防水涂膜</w:t>
            </w:r>
          </w:p>
        </w:tc>
        <w:tc>
          <w:tcPr>
            <w:tcW w:w="1913" w:type="dxa"/>
            <w:vAlign w:val="top"/>
          </w:tcPr>
          <w:p w14:paraId="36BF8742">
            <w:pPr>
              <w:pStyle w:val="6"/>
              <w:spacing w:before="111" w:line="219" w:lineRule="auto"/>
              <w:ind w:left="129"/>
            </w:pPr>
            <w:r>
              <w:rPr>
                <w:spacing w:val="-2"/>
              </w:rPr>
              <w:t>高聚物改性沥青防</w:t>
            </w:r>
          </w:p>
          <w:p w14:paraId="09CD31FA">
            <w:pPr>
              <w:pStyle w:val="6"/>
              <w:spacing w:before="110" w:line="219" w:lineRule="auto"/>
              <w:ind w:left="125"/>
            </w:pPr>
            <w:r>
              <w:rPr>
                <w:spacing w:val="-2"/>
              </w:rPr>
              <w:t>水卷材＋高聚物改</w:t>
            </w:r>
          </w:p>
          <w:p w14:paraId="7FA58605">
            <w:pPr>
              <w:pStyle w:val="6"/>
              <w:spacing w:before="111" w:line="214" w:lineRule="auto"/>
              <w:ind w:left="231"/>
            </w:pPr>
            <w:r>
              <w:rPr>
                <w:spacing w:val="-2"/>
              </w:rPr>
              <w:t>性沥青防水涂膜</w:t>
            </w:r>
          </w:p>
        </w:tc>
        <w:tc>
          <w:tcPr>
            <w:tcW w:w="1919" w:type="dxa"/>
            <w:vAlign w:val="top"/>
          </w:tcPr>
          <w:p w14:paraId="0C3A3D40">
            <w:pPr>
              <w:pStyle w:val="6"/>
              <w:spacing w:before="111" w:line="219" w:lineRule="auto"/>
              <w:ind w:left="133"/>
            </w:pPr>
            <w:r>
              <w:rPr>
                <w:spacing w:val="7"/>
              </w:rPr>
              <w:t>聚乙烯丙纶卷材+</w:t>
            </w:r>
          </w:p>
          <w:p w14:paraId="043F9815">
            <w:pPr>
              <w:pStyle w:val="6"/>
              <w:spacing w:before="110" w:line="220" w:lineRule="auto"/>
              <w:ind w:left="133"/>
            </w:pPr>
            <w:r>
              <w:rPr>
                <w:spacing w:val="-2"/>
              </w:rPr>
              <w:t>聚合物水泥防水胶</w:t>
            </w:r>
          </w:p>
          <w:p w14:paraId="6CFAEE12">
            <w:pPr>
              <w:pStyle w:val="6"/>
              <w:spacing w:before="110" w:line="214" w:lineRule="auto"/>
              <w:ind w:left="655"/>
            </w:pPr>
            <w:r>
              <w:rPr>
                <w:spacing w:val="-3"/>
              </w:rPr>
              <w:t>结材料</w:t>
            </w:r>
          </w:p>
        </w:tc>
      </w:tr>
      <w:tr w14:paraId="342F1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649" w:type="dxa"/>
            <w:vAlign w:val="top"/>
          </w:tcPr>
          <w:p w14:paraId="57B58FB5">
            <w:pPr>
              <w:pStyle w:val="6"/>
              <w:spacing w:before="110" w:line="213" w:lineRule="auto"/>
              <w:ind w:left="688"/>
            </w:pPr>
            <w:r>
              <w:rPr>
                <w:spacing w:val="-20"/>
              </w:rPr>
              <w:t>Ⅰ级</w:t>
            </w:r>
          </w:p>
        </w:tc>
        <w:tc>
          <w:tcPr>
            <w:tcW w:w="1859" w:type="dxa"/>
            <w:vAlign w:val="top"/>
          </w:tcPr>
          <w:p w14:paraId="6BE320DA">
            <w:pPr>
              <w:spacing w:before="149" w:line="186" w:lineRule="auto"/>
              <w:ind w:left="628"/>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1.2+1.5</w:t>
            </w:r>
          </w:p>
        </w:tc>
        <w:tc>
          <w:tcPr>
            <w:tcW w:w="2235" w:type="dxa"/>
            <w:vAlign w:val="top"/>
          </w:tcPr>
          <w:p w14:paraId="30CD5E81">
            <w:pPr>
              <w:spacing w:before="149" w:line="186" w:lineRule="auto"/>
              <w:ind w:left="818"/>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1.5+1.5</w:t>
            </w:r>
          </w:p>
        </w:tc>
        <w:tc>
          <w:tcPr>
            <w:tcW w:w="1913" w:type="dxa"/>
            <w:vAlign w:val="top"/>
          </w:tcPr>
          <w:p w14:paraId="7F1448C6">
            <w:pPr>
              <w:spacing w:before="149" w:line="186" w:lineRule="auto"/>
              <w:ind w:left="64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3.0+2.0</w:t>
            </w:r>
          </w:p>
        </w:tc>
        <w:tc>
          <w:tcPr>
            <w:tcW w:w="1919" w:type="dxa"/>
            <w:vAlign w:val="top"/>
          </w:tcPr>
          <w:p w14:paraId="44DF2C5B">
            <w:pPr>
              <w:pStyle w:val="6"/>
              <w:spacing w:before="110" w:line="213" w:lineRule="auto"/>
              <w:ind w:left="282"/>
              <w:rPr>
                <w:rFonts w:ascii="Times New Roman" w:hAnsi="Times New Roman" w:eastAsia="Times New Roman" w:cs="Times New Roman"/>
              </w:rPr>
            </w:pPr>
            <w:r>
              <w:rPr>
                <w:spacing w:val="-2"/>
              </w:rPr>
              <w:t>（</w:t>
            </w:r>
            <w:r>
              <w:rPr>
                <w:rFonts w:ascii="Times New Roman" w:hAnsi="Times New Roman" w:eastAsia="Times New Roman" w:cs="Times New Roman"/>
                <w:spacing w:val="-2"/>
              </w:rPr>
              <w:t>0.7+1.3</w:t>
            </w:r>
            <w:r>
              <w:rPr>
                <w:spacing w:val="-2"/>
              </w:rPr>
              <w:t>）×</w:t>
            </w:r>
            <w:r>
              <w:rPr>
                <w:rFonts w:ascii="Times New Roman" w:hAnsi="Times New Roman" w:eastAsia="Times New Roman" w:cs="Times New Roman"/>
                <w:spacing w:val="-2"/>
              </w:rPr>
              <w:t>2</w:t>
            </w:r>
          </w:p>
        </w:tc>
      </w:tr>
      <w:tr w14:paraId="03F50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649" w:type="dxa"/>
            <w:vAlign w:val="top"/>
          </w:tcPr>
          <w:p w14:paraId="5A89CBBF">
            <w:pPr>
              <w:pStyle w:val="6"/>
              <w:spacing w:before="113" w:line="217" w:lineRule="auto"/>
              <w:ind w:left="656"/>
            </w:pPr>
            <w:r>
              <w:rPr>
                <w:spacing w:val="-12"/>
              </w:rPr>
              <w:t>Ⅱ级</w:t>
            </w:r>
          </w:p>
        </w:tc>
        <w:tc>
          <w:tcPr>
            <w:tcW w:w="1859" w:type="dxa"/>
            <w:vAlign w:val="top"/>
          </w:tcPr>
          <w:p w14:paraId="19A4EEBC">
            <w:pPr>
              <w:spacing w:before="152" w:line="186" w:lineRule="auto"/>
              <w:ind w:left="628"/>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1.0+1.0</w:t>
            </w:r>
          </w:p>
        </w:tc>
        <w:tc>
          <w:tcPr>
            <w:tcW w:w="2235" w:type="dxa"/>
            <w:vAlign w:val="top"/>
          </w:tcPr>
          <w:p w14:paraId="51A22F48">
            <w:pPr>
              <w:spacing w:before="152" w:line="186" w:lineRule="auto"/>
              <w:ind w:left="818"/>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1.2+1.0</w:t>
            </w:r>
          </w:p>
        </w:tc>
        <w:tc>
          <w:tcPr>
            <w:tcW w:w="1913" w:type="dxa"/>
            <w:vAlign w:val="top"/>
          </w:tcPr>
          <w:p w14:paraId="1D3D9EF8">
            <w:pPr>
              <w:spacing w:before="152" w:line="186" w:lineRule="auto"/>
              <w:ind w:left="64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3.0+1.2</w:t>
            </w:r>
          </w:p>
        </w:tc>
        <w:tc>
          <w:tcPr>
            <w:tcW w:w="1919" w:type="dxa"/>
            <w:vAlign w:val="top"/>
          </w:tcPr>
          <w:p w14:paraId="7542AE66">
            <w:pPr>
              <w:spacing w:before="152" w:line="186"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0.7+1.3</w:t>
            </w:r>
          </w:p>
        </w:tc>
      </w:tr>
    </w:tbl>
    <w:p w14:paraId="7F2E684A">
      <w:pPr>
        <w:pStyle w:val="2"/>
      </w:pPr>
    </w:p>
    <w:p w14:paraId="07A9E1D2">
      <w:pPr>
        <w:sectPr>
          <w:footerReference r:id="rId40" w:type="default"/>
          <w:pgSz w:w="11907" w:h="16839"/>
          <w:pgMar w:top="400" w:right="1162" w:bottom="743" w:left="1162" w:header="0" w:footer="582" w:gutter="0"/>
          <w:cols w:space="720" w:num="1"/>
        </w:sectPr>
      </w:pPr>
    </w:p>
    <w:p w14:paraId="2B9634AB">
      <w:pPr>
        <w:pStyle w:val="2"/>
        <w:spacing w:line="303" w:lineRule="auto"/>
      </w:pPr>
    </w:p>
    <w:p w14:paraId="713E9AB5">
      <w:pPr>
        <w:pStyle w:val="2"/>
        <w:spacing w:line="303" w:lineRule="auto"/>
      </w:pPr>
    </w:p>
    <w:p w14:paraId="7F7432A6">
      <w:pPr>
        <w:pStyle w:val="2"/>
        <w:spacing w:line="303" w:lineRule="auto"/>
      </w:pPr>
    </w:p>
    <w:p w14:paraId="54DB2F45">
      <w:pPr>
        <w:spacing w:before="78" w:line="220" w:lineRule="auto"/>
        <w:ind w:left="258"/>
        <w:rPr>
          <w:rFonts w:ascii="宋体" w:hAnsi="宋体" w:eastAsia="宋体" w:cs="宋体"/>
          <w:sz w:val="24"/>
          <w:szCs w:val="24"/>
        </w:rPr>
      </w:pPr>
      <w:r>
        <w:rPr>
          <w:rFonts w:ascii="Times New Roman" w:hAnsi="Times New Roman" w:eastAsia="Times New Roman" w:cs="Times New Roman"/>
          <w:strike/>
          <w:spacing w:val="-1"/>
          <w:sz w:val="24"/>
          <w:szCs w:val="24"/>
        </w:rPr>
        <w:t xml:space="preserve">4.8.1    </w:t>
      </w:r>
      <w:r>
        <w:rPr>
          <w:rFonts w:ascii="宋体" w:hAnsi="宋体" w:eastAsia="宋体" w:cs="宋体"/>
          <w:strike/>
          <w:spacing w:val="-1"/>
          <w:sz w:val="24"/>
          <w:szCs w:val="24"/>
        </w:rPr>
        <w:t>瓦屋面防水等级和防水做法应符合表</w:t>
      </w:r>
      <w:r>
        <w:rPr>
          <w:rFonts w:ascii="宋体" w:hAnsi="宋体" w:eastAsia="宋体" w:cs="宋体"/>
          <w:strike/>
          <w:spacing w:val="-53"/>
          <w:sz w:val="24"/>
          <w:szCs w:val="24"/>
        </w:rPr>
        <w:t xml:space="preserve"> </w:t>
      </w:r>
      <w:r>
        <w:rPr>
          <w:rFonts w:ascii="Times New Roman" w:hAnsi="Times New Roman" w:eastAsia="Times New Roman" w:cs="Times New Roman"/>
          <w:strike/>
          <w:spacing w:val="-1"/>
          <w:sz w:val="24"/>
          <w:szCs w:val="24"/>
        </w:rPr>
        <w:t>4.8.1</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5E81A3E5">
      <w:pPr>
        <w:spacing w:before="180" w:line="220" w:lineRule="auto"/>
        <w:ind w:left="3091"/>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9"/>
          <w:sz w:val="21"/>
          <w:szCs w:val="21"/>
        </w:rPr>
        <w:t xml:space="preserve"> </w:t>
      </w:r>
      <w:r>
        <w:rPr>
          <w:rFonts w:ascii="Times New Roman" w:hAnsi="Times New Roman" w:eastAsia="Times New Roman" w:cs="Times New Roman"/>
          <w:strike/>
          <w:spacing w:val="-1"/>
          <w:sz w:val="21"/>
          <w:szCs w:val="21"/>
        </w:rPr>
        <w:t xml:space="preserve">4.8.1    </w:t>
      </w:r>
      <w:r>
        <w:rPr>
          <w:rFonts w:ascii="宋体" w:hAnsi="宋体" w:eastAsia="宋体" w:cs="宋体"/>
          <w:strike/>
          <w:spacing w:val="-1"/>
          <w:sz w:val="21"/>
          <w:szCs w:val="21"/>
        </w:rPr>
        <w:t>瓦屋面防水等级和防水做法</w:t>
      </w:r>
    </w:p>
    <w:p w14:paraId="49DB5421">
      <w:pPr>
        <w:spacing w:line="18"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87"/>
        <w:gridCol w:w="4788"/>
      </w:tblGrid>
      <w:tr w14:paraId="033979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787" w:type="dxa"/>
            <w:vAlign w:val="top"/>
          </w:tcPr>
          <w:p w14:paraId="4A2746AF">
            <w:pPr>
              <w:pStyle w:val="6"/>
              <w:spacing w:before="176" w:line="220" w:lineRule="auto"/>
              <w:ind w:left="1992"/>
            </w:pPr>
            <w:r>
              <w:rPr>
                <w:spacing w:val="-5"/>
              </w:rPr>
              <w:t>防水等级</w:t>
            </w:r>
          </w:p>
        </w:tc>
        <w:tc>
          <w:tcPr>
            <w:tcW w:w="4788" w:type="dxa"/>
            <w:vAlign w:val="top"/>
          </w:tcPr>
          <w:p w14:paraId="0E0E5987">
            <w:pPr>
              <w:pStyle w:val="6"/>
              <w:spacing w:before="176" w:line="220" w:lineRule="auto"/>
              <w:ind w:left="1991"/>
            </w:pPr>
            <w:r>
              <w:rPr>
                <w:spacing w:val="-5"/>
              </w:rPr>
              <w:t>防水做法</w:t>
            </w:r>
          </w:p>
        </w:tc>
      </w:tr>
      <w:tr w14:paraId="57F79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4787" w:type="dxa"/>
            <w:vAlign w:val="top"/>
          </w:tcPr>
          <w:p w14:paraId="21D48C13">
            <w:pPr>
              <w:pStyle w:val="6"/>
              <w:spacing w:before="173" w:line="222" w:lineRule="auto"/>
              <w:ind w:left="2257"/>
            </w:pPr>
            <w:r>
              <w:rPr>
                <w:spacing w:val="-20"/>
              </w:rPr>
              <w:t>Ⅰ级</w:t>
            </w:r>
          </w:p>
        </w:tc>
        <w:tc>
          <w:tcPr>
            <w:tcW w:w="4788" w:type="dxa"/>
            <w:vAlign w:val="top"/>
          </w:tcPr>
          <w:p w14:paraId="7402118A">
            <w:pPr>
              <w:pStyle w:val="6"/>
              <w:spacing w:before="173" w:line="220" w:lineRule="auto"/>
              <w:ind w:left="1925"/>
            </w:pPr>
            <w:r>
              <w:rPr>
                <w:spacing w:val="-6"/>
              </w:rPr>
              <w:t>瓦</w:t>
            </w:r>
            <w:r>
              <w:rPr>
                <w:rFonts w:ascii="Times New Roman" w:hAnsi="Times New Roman" w:eastAsia="Times New Roman" w:cs="Times New Roman"/>
                <w:spacing w:val="-6"/>
              </w:rPr>
              <w:t>+</w:t>
            </w:r>
            <w:r>
              <w:rPr>
                <w:rFonts w:ascii="Times New Roman" w:hAnsi="Times New Roman" w:eastAsia="Times New Roman" w:cs="Times New Roman"/>
                <w:spacing w:val="-31"/>
              </w:rPr>
              <w:t xml:space="preserve"> </w:t>
            </w:r>
            <w:r>
              <w:rPr>
                <w:spacing w:val="-6"/>
              </w:rPr>
              <w:t>防水层</w:t>
            </w:r>
          </w:p>
        </w:tc>
      </w:tr>
      <w:tr w14:paraId="23C0C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787" w:type="dxa"/>
            <w:vAlign w:val="top"/>
          </w:tcPr>
          <w:p w14:paraId="633A4F6F">
            <w:pPr>
              <w:pStyle w:val="6"/>
              <w:spacing w:before="175" w:line="222" w:lineRule="auto"/>
              <w:ind w:left="2225"/>
            </w:pPr>
            <w:r>
              <w:rPr>
                <w:spacing w:val="-12"/>
              </w:rPr>
              <w:t>Ⅱ级</w:t>
            </w:r>
          </w:p>
        </w:tc>
        <w:tc>
          <w:tcPr>
            <w:tcW w:w="4788" w:type="dxa"/>
            <w:vAlign w:val="top"/>
          </w:tcPr>
          <w:p w14:paraId="250B786F">
            <w:pPr>
              <w:pStyle w:val="6"/>
              <w:spacing w:before="175" w:line="220" w:lineRule="auto"/>
              <w:ind w:left="1821"/>
            </w:pPr>
            <w:r>
              <w:rPr>
                <w:spacing w:val="-6"/>
              </w:rPr>
              <w:t>瓦</w:t>
            </w:r>
            <w:r>
              <w:rPr>
                <w:rFonts w:ascii="Times New Roman" w:hAnsi="Times New Roman" w:eastAsia="Times New Roman" w:cs="Times New Roman"/>
                <w:spacing w:val="-6"/>
              </w:rPr>
              <w:t>+</w:t>
            </w:r>
            <w:r>
              <w:rPr>
                <w:rFonts w:ascii="Times New Roman" w:hAnsi="Times New Roman" w:eastAsia="Times New Roman" w:cs="Times New Roman"/>
                <w:spacing w:val="-28"/>
              </w:rPr>
              <w:t xml:space="preserve"> </w:t>
            </w:r>
            <w:r>
              <w:rPr>
                <w:spacing w:val="-6"/>
              </w:rPr>
              <w:t>防水垫层</w:t>
            </w:r>
          </w:p>
        </w:tc>
      </w:tr>
    </w:tbl>
    <w:p w14:paraId="7A9F5314">
      <w:pPr>
        <w:spacing w:before="172" w:line="219" w:lineRule="auto"/>
        <w:ind w:left="262"/>
        <w:rPr>
          <w:rFonts w:ascii="宋体" w:hAnsi="宋体" w:eastAsia="宋体" w:cs="宋体"/>
          <w:sz w:val="21"/>
          <w:szCs w:val="21"/>
        </w:rPr>
      </w:pPr>
      <w:r>
        <w:rPr>
          <w:rFonts w:ascii="宋体" w:hAnsi="宋体" w:eastAsia="宋体" w:cs="宋体"/>
          <w:strike/>
          <w:sz w:val="21"/>
          <w:szCs w:val="21"/>
        </w:rPr>
        <w:t>注：防水层厚度应符合本规范第</w:t>
      </w:r>
      <w:r>
        <w:rPr>
          <w:rFonts w:ascii="宋体" w:hAnsi="宋体" w:eastAsia="宋体" w:cs="宋体"/>
          <w:strike/>
          <w:spacing w:val="-49"/>
          <w:sz w:val="21"/>
          <w:szCs w:val="21"/>
        </w:rPr>
        <w:t xml:space="preserve"> </w:t>
      </w:r>
      <w:r>
        <w:rPr>
          <w:rFonts w:ascii="Times New Roman" w:hAnsi="Times New Roman" w:eastAsia="Times New Roman" w:cs="Times New Roman"/>
          <w:strike/>
          <w:sz w:val="21"/>
          <w:szCs w:val="21"/>
        </w:rPr>
        <w:t xml:space="preserve">4.5.5 </w:t>
      </w:r>
      <w:r>
        <w:rPr>
          <w:rFonts w:ascii="宋体" w:hAnsi="宋体" w:eastAsia="宋体" w:cs="宋体"/>
          <w:strike/>
          <w:sz w:val="21"/>
          <w:szCs w:val="21"/>
        </w:rPr>
        <w:t>跳或</w:t>
      </w:r>
      <w:r>
        <w:rPr>
          <w:rFonts w:ascii="宋体" w:hAnsi="宋体" w:eastAsia="宋体" w:cs="宋体"/>
          <w:strike/>
          <w:spacing w:val="-50"/>
          <w:sz w:val="21"/>
          <w:szCs w:val="21"/>
        </w:rPr>
        <w:t xml:space="preserve"> </w:t>
      </w:r>
      <w:r>
        <w:rPr>
          <w:rFonts w:ascii="Times New Roman" w:hAnsi="Times New Roman" w:eastAsia="Times New Roman" w:cs="Times New Roman"/>
          <w:strike/>
          <w:spacing w:val="-1"/>
          <w:sz w:val="21"/>
          <w:szCs w:val="21"/>
        </w:rPr>
        <w:t xml:space="preserve">4.5.6 </w:t>
      </w:r>
      <w:r>
        <w:rPr>
          <w:rFonts w:ascii="宋体" w:hAnsi="宋体" w:eastAsia="宋体" w:cs="宋体"/>
          <w:strike/>
          <w:spacing w:val="-1"/>
          <w:sz w:val="21"/>
          <w:szCs w:val="21"/>
        </w:rPr>
        <w:t>条Ⅱ级防水的规定。</w:t>
      </w:r>
    </w:p>
    <w:p w14:paraId="3A373662">
      <w:pPr>
        <w:spacing w:before="164" w:line="219" w:lineRule="auto"/>
        <w:ind w:left="258"/>
        <w:rPr>
          <w:rFonts w:ascii="宋体" w:hAnsi="宋体" w:eastAsia="宋体" w:cs="宋体"/>
          <w:sz w:val="24"/>
          <w:szCs w:val="24"/>
        </w:rPr>
      </w:pPr>
      <w:r>
        <w:rPr>
          <w:rFonts w:ascii="Times New Roman" w:hAnsi="Times New Roman" w:eastAsia="Times New Roman" w:cs="Times New Roman"/>
          <w:strike/>
          <w:spacing w:val="-1"/>
          <w:sz w:val="24"/>
          <w:szCs w:val="24"/>
        </w:rPr>
        <w:t xml:space="preserve">4.9.1    </w:t>
      </w:r>
      <w:r>
        <w:rPr>
          <w:rFonts w:ascii="宋体" w:hAnsi="宋体" w:eastAsia="宋体" w:cs="宋体"/>
          <w:strike/>
          <w:spacing w:val="-1"/>
          <w:sz w:val="24"/>
          <w:szCs w:val="24"/>
        </w:rPr>
        <w:t>金属板屋面防水等级和防水做法应符合表</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4.9.1</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348A7960">
      <w:pPr>
        <w:spacing w:before="155" w:line="219" w:lineRule="auto"/>
        <w:ind w:left="2754"/>
        <w:rPr>
          <w:rFonts w:ascii="宋体" w:hAnsi="宋体" w:eastAsia="宋体" w:cs="宋体"/>
          <w:sz w:val="24"/>
          <w:szCs w:val="24"/>
        </w:rPr>
      </w:pPr>
      <w:r>
        <w:rPr>
          <w:rFonts w:ascii="Times New Roman" w:hAnsi="Times New Roman" w:eastAsia="Times New Roman" w:cs="Times New Roman"/>
          <w:strike/>
          <w:spacing w:val="-1"/>
          <w:sz w:val="24"/>
          <w:szCs w:val="24"/>
        </w:rPr>
        <w:t xml:space="preserve">4.9.1    </w:t>
      </w:r>
      <w:r>
        <w:rPr>
          <w:rFonts w:ascii="宋体" w:hAnsi="宋体" w:eastAsia="宋体" w:cs="宋体"/>
          <w:strike/>
          <w:spacing w:val="-1"/>
          <w:sz w:val="24"/>
          <w:szCs w:val="24"/>
        </w:rPr>
        <w:t>金属板屋面防水等级和防水做法</w:t>
      </w:r>
    </w:p>
    <w:p w14:paraId="05C6C0FD">
      <w:pPr>
        <w:spacing w:line="97" w:lineRule="auto"/>
        <w:rPr>
          <w:rFonts w:ascii="Arial"/>
          <w:sz w:val="2"/>
        </w:rPr>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87"/>
        <w:gridCol w:w="4788"/>
      </w:tblGrid>
      <w:tr w14:paraId="73AE7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4787" w:type="dxa"/>
            <w:vAlign w:val="top"/>
          </w:tcPr>
          <w:p w14:paraId="19368F73">
            <w:pPr>
              <w:pStyle w:val="6"/>
              <w:spacing w:before="112" w:line="215" w:lineRule="auto"/>
              <w:ind w:left="1992"/>
            </w:pPr>
            <w:r>
              <w:rPr>
                <w:spacing w:val="-5"/>
              </w:rPr>
              <w:t>防水等级</w:t>
            </w:r>
          </w:p>
        </w:tc>
        <w:tc>
          <w:tcPr>
            <w:tcW w:w="4788" w:type="dxa"/>
            <w:vAlign w:val="top"/>
          </w:tcPr>
          <w:p w14:paraId="04C26E30">
            <w:pPr>
              <w:pStyle w:val="6"/>
              <w:spacing w:before="112" w:line="215" w:lineRule="auto"/>
              <w:ind w:left="1991"/>
            </w:pPr>
            <w:r>
              <w:rPr>
                <w:spacing w:val="-5"/>
              </w:rPr>
              <w:t>防水做法</w:t>
            </w:r>
          </w:p>
        </w:tc>
      </w:tr>
      <w:tr w14:paraId="4EC51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787" w:type="dxa"/>
            <w:vAlign w:val="top"/>
          </w:tcPr>
          <w:p w14:paraId="7EE0CD30">
            <w:pPr>
              <w:pStyle w:val="6"/>
              <w:spacing w:before="110" w:line="214" w:lineRule="auto"/>
              <w:ind w:left="2257"/>
            </w:pPr>
            <w:r>
              <w:rPr>
                <w:spacing w:val="-20"/>
              </w:rPr>
              <w:t>Ⅰ级</w:t>
            </w:r>
          </w:p>
        </w:tc>
        <w:tc>
          <w:tcPr>
            <w:tcW w:w="4788" w:type="dxa"/>
            <w:vAlign w:val="top"/>
          </w:tcPr>
          <w:p w14:paraId="187742E1">
            <w:pPr>
              <w:pStyle w:val="6"/>
              <w:spacing w:before="110" w:line="214" w:lineRule="auto"/>
              <w:ind w:left="1394"/>
            </w:pPr>
            <w:r>
              <w:rPr>
                <w:spacing w:val="-3"/>
              </w:rPr>
              <w:t>压型金属板</w:t>
            </w:r>
            <w:r>
              <w:rPr>
                <w:rFonts w:ascii="Times New Roman" w:hAnsi="Times New Roman" w:eastAsia="Times New Roman" w:cs="Times New Roman"/>
                <w:spacing w:val="-3"/>
              </w:rPr>
              <w:t>+</w:t>
            </w:r>
            <w:r>
              <w:rPr>
                <w:rFonts w:ascii="Times New Roman" w:hAnsi="Times New Roman" w:eastAsia="Times New Roman" w:cs="Times New Roman"/>
                <w:spacing w:val="-27"/>
              </w:rPr>
              <w:t xml:space="preserve"> </w:t>
            </w:r>
            <w:r>
              <w:rPr>
                <w:spacing w:val="-3"/>
              </w:rPr>
              <w:t>防水垫层</w:t>
            </w:r>
          </w:p>
        </w:tc>
      </w:tr>
      <w:tr w14:paraId="69572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787" w:type="dxa"/>
            <w:vAlign w:val="top"/>
          </w:tcPr>
          <w:p w14:paraId="5295AF4C">
            <w:pPr>
              <w:pStyle w:val="6"/>
              <w:spacing w:before="111" w:line="217" w:lineRule="auto"/>
              <w:ind w:left="2225"/>
            </w:pPr>
            <w:r>
              <w:rPr>
                <w:spacing w:val="-12"/>
              </w:rPr>
              <w:t>Ⅱ级</w:t>
            </w:r>
          </w:p>
        </w:tc>
        <w:tc>
          <w:tcPr>
            <w:tcW w:w="4788" w:type="dxa"/>
            <w:vAlign w:val="top"/>
          </w:tcPr>
          <w:p w14:paraId="7052CA9F">
            <w:pPr>
              <w:pStyle w:val="6"/>
              <w:spacing w:before="111" w:line="217" w:lineRule="auto"/>
              <w:ind w:left="929"/>
            </w:pPr>
            <w:r>
              <w:rPr>
                <w:spacing w:val="-1"/>
              </w:rPr>
              <w:t>压型金属板、金属面绝热夹芯板</w:t>
            </w:r>
          </w:p>
        </w:tc>
      </w:tr>
    </w:tbl>
    <w:p w14:paraId="070A5DEC">
      <w:pPr>
        <w:spacing w:before="108" w:line="316" w:lineRule="auto"/>
        <w:ind w:left="261" w:right="296"/>
        <w:rPr>
          <w:rFonts w:ascii="宋体" w:hAnsi="宋体" w:eastAsia="宋体" w:cs="宋体"/>
          <w:sz w:val="21"/>
          <w:szCs w:val="21"/>
        </w:rPr>
      </w:pP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 xml:space="preserve">1  </w:t>
      </w:r>
      <w:r>
        <w:rPr>
          <w:rFonts w:ascii="宋体" w:hAnsi="宋体" w:eastAsia="宋体" w:cs="宋体"/>
          <w:strike/>
          <w:spacing w:val="-1"/>
          <w:sz w:val="21"/>
          <w:szCs w:val="21"/>
        </w:rPr>
        <w:t>当防水等级为Ⅰ级时，压型铝合金板基板厚度不应小于</w:t>
      </w:r>
      <w:r>
        <w:rPr>
          <w:rFonts w:ascii="宋体" w:hAnsi="宋体" w:eastAsia="宋体" w:cs="宋体"/>
          <w:strike/>
          <w:spacing w:val="-27"/>
          <w:sz w:val="21"/>
          <w:szCs w:val="21"/>
        </w:rPr>
        <w:t xml:space="preserve"> </w:t>
      </w:r>
      <w:r>
        <w:rPr>
          <w:rFonts w:ascii="Times New Roman" w:hAnsi="Times New Roman" w:eastAsia="Times New Roman" w:cs="Times New Roman"/>
          <w:strike/>
          <w:spacing w:val="-1"/>
          <w:sz w:val="21"/>
          <w:szCs w:val="21"/>
        </w:rPr>
        <w:t>0</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9mm</w:t>
      </w:r>
      <w:r>
        <w:rPr>
          <w:rFonts w:ascii="宋体" w:hAnsi="宋体" w:eastAsia="宋体" w:cs="宋体"/>
          <w:strike/>
          <w:spacing w:val="-1"/>
          <w:sz w:val="21"/>
          <w:szCs w:val="21"/>
        </w:rPr>
        <w:t>；压型钢板基板厚度不应小于</w:t>
      </w:r>
      <w:r>
        <w:rPr>
          <w:rFonts w:ascii="宋体" w:hAnsi="宋体" w:eastAsia="宋体" w:cs="宋体"/>
          <w:sz w:val="21"/>
          <w:szCs w:val="21"/>
        </w:rPr>
        <w:t xml:space="preserve"> </w:t>
      </w: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6mm</w:t>
      </w:r>
      <w:r>
        <w:rPr>
          <w:rFonts w:ascii="Times New Roman" w:hAnsi="Times New Roman" w:eastAsia="Times New Roman" w:cs="Times New Roman"/>
          <w:strike/>
          <w:spacing w:val="-22"/>
          <w:sz w:val="21"/>
          <w:szCs w:val="21"/>
        </w:rPr>
        <w:t xml:space="preserve"> </w:t>
      </w:r>
      <w:r>
        <w:rPr>
          <w:rFonts w:ascii="宋体" w:hAnsi="宋体" w:eastAsia="宋体" w:cs="宋体"/>
          <w:strike/>
          <w:spacing w:val="-2"/>
          <w:sz w:val="21"/>
          <w:szCs w:val="21"/>
        </w:rPr>
        <w:t>；</w:t>
      </w:r>
    </w:p>
    <w:p w14:paraId="1AABA7AA">
      <w:pPr>
        <w:spacing w:before="1" w:line="218" w:lineRule="auto"/>
        <w:ind w:left="678"/>
        <w:rPr>
          <w:rFonts w:ascii="宋体" w:hAnsi="宋体" w:eastAsia="宋体" w:cs="宋体"/>
          <w:sz w:val="21"/>
          <w:szCs w:val="21"/>
        </w:rPr>
      </w:pPr>
      <w:r>
        <w:rPr>
          <w:rFonts w:ascii="Times New Roman" w:hAnsi="Times New Roman" w:eastAsia="Times New Roman" w:cs="Times New Roman"/>
          <w:strike/>
          <w:spacing w:val="-1"/>
          <w:sz w:val="21"/>
          <w:szCs w:val="21"/>
        </w:rPr>
        <w:t xml:space="preserve">2  </w:t>
      </w:r>
      <w:r>
        <w:rPr>
          <w:rFonts w:ascii="宋体" w:hAnsi="宋体" w:eastAsia="宋体" w:cs="宋体"/>
          <w:strike/>
          <w:spacing w:val="-1"/>
          <w:sz w:val="21"/>
          <w:szCs w:val="21"/>
        </w:rPr>
        <w:t>当防水等级为Ⅰ级时，压型金属板应采用</w:t>
      </w:r>
      <w:r>
        <w:rPr>
          <w:rFonts w:ascii="宋体" w:hAnsi="宋体" w:eastAsia="宋体" w:cs="宋体"/>
          <w:strike/>
          <w:spacing w:val="-43"/>
          <w:sz w:val="21"/>
          <w:szCs w:val="21"/>
        </w:rPr>
        <w:t xml:space="preserve"> </w:t>
      </w:r>
      <w:r>
        <w:rPr>
          <w:rFonts w:ascii="Times New Roman" w:hAnsi="Times New Roman" w:eastAsia="Times New Roman" w:cs="Times New Roman"/>
          <w:strike/>
          <w:spacing w:val="-1"/>
          <w:sz w:val="21"/>
          <w:szCs w:val="21"/>
        </w:rPr>
        <w:t>360</w:t>
      </w:r>
      <w:r>
        <w:rPr>
          <w:rFonts w:ascii="Times New Roman" w:hAnsi="Times New Roman" w:eastAsia="Times New Roman" w:cs="Times New Roman"/>
          <w:strike/>
          <w:spacing w:val="-26"/>
          <w:sz w:val="21"/>
          <w:szCs w:val="21"/>
        </w:rPr>
        <w:t xml:space="preserve"> </w:t>
      </w:r>
      <w:r>
        <w:rPr>
          <w:rFonts w:ascii="宋体" w:hAnsi="宋体" w:eastAsia="宋体" w:cs="宋体"/>
          <w:strike/>
          <w:spacing w:val="-1"/>
          <w:sz w:val="21"/>
          <w:szCs w:val="21"/>
        </w:rPr>
        <w:t>°咬口锁边</w:t>
      </w:r>
      <w:r>
        <w:rPr>
          <w:rFonts w:ascii="宋体" w:hAnsi="宋体" w:eastAsia="宋体" w:cs="宋体"/>
          <w:strike/>
          <w:spacing w:val="-2"/>
          <w:sz w:val="21"/>
          <w:szCs w:val="21"/>
        </w:rPr>
        <w:t>连接方式；</w:t>
      </w:r>
    </w:p>
    <w:p w14:paraId="68E86520">
      <w:pPr>
        <w:spacing w:before="111" w:line="268" w:lineRule="auto"/>
        <w:ind w:left="264" w:right="296" w:firstLine="418"/>
        <w:rPr>
          <w:rFonts w:ascii="宋体" w:hAnsi="宋体" w:eastAsia="宋体" w:cs="宋体"/>
          <w:sz w:val="21"/>
          <w:szCs w:val="21"/>
        </w:rPr>
      </w:pPr>
      <w:r>
        <w:rPr>
          <w:rFonts w:ascii="Times New Roman" w:hAnsi="Times New Roman" w:eastAsia="Times New Roman" w:cs="Times New Roman"/>
          <w:strike/>
          <w:sz w:val="21"/>
          <w:szCs w:val="21"/>
        </w:rPr>
        <w:t xml:space="preserve">3  </w:t>
      </w:r>
      <w:r>
        <w:rPr>
          <w:rFonts w:ascii="宋体" w:hAnsi="宋体" w:eastAsia="宋体" w:cs="宋体"/>
          <w:strike/>
          <w:sz w:val="21"/>
          <w:szCs w:val="21"/>
        </w:rPr>
        <w:t>在Ⅰ级屋面防水做法中，仅作压型金属板时，应符合《金属压型板应</w:t>
      </w:r>
      <w:r>
        <w:rPr>
          <w:rFonts w:ascii="宋体" w:hAnsi="宋体" w:eastAsia="宋体" w:cs="宋体"/>
          <w:strike/>
          <w:spacing w:val="-1"/>
          <w:sz w:val="21"/>
          <w:szCs w:val="21"/>
        </w:rPr>
        <w:t>用技术规范》等相关技</w:t>
      </w:r>
      <w:r>
        <w:rPr>
          <w:rFonts w:ascii="宋体" w:hAnsi="宋体" w:eastAsia="宋体" w:cs="宋体"/>
          <w:sz w:val="21"/>
          <w:szCs w:val="21"/>
        </w:rPr>
        <w:t xml:space="preserve"> </w:t>
      </w:r>
      <w:r>
        <w:rPr>
          <w:rFonts w:ascii="宋体" w:hAnsi="宋体" w:eastAsia="宋体" w:cs="宋体"/>
          <w:strike/>
          <w:spacing w:val="-2"/>
          <w:sz w:val="21"/>
          <w:szCs w:val="21"/>
        </w:rPr>
        <w:t>术的规定。</w:t>
      </w:r>
    </w:p>
    <w:p w14:paraId="21F703A1">
      <w:pPr>
        <w:spacing w:before="149" w:line="220" w:lineRule="auto"/>
        <w:ind w:left="265"/>
        <w:rPr>
          <w:rFonts w:ascii="宋体" w:hAnsi="宋体" w:eastAsia="宋体" w:cs="宋体"/>
          <w:sz w:val="24"/>
          <w:szCs w:val="24"/>
        </w:rPr>
      </w:pPr>
      <w:r>
        <w:rPr>
          <w:rFonts w:ascii="Times New Roman" w:hAnsi="Times New Roman" w:eastAsia="Times New Roman" w:cs="Times New Roman"/>
          <w:strike/>
          <w:spacing w:val="-1"/>
          <w:sz w:val="24"/>
          <w:szCs w:val="24"/>
        </w:rPr>
        <w:t xml:space="preserve">5.1.6    </w:t>
      </w:r>
      <w:r>
        <w:rPr>
          <w:rFonts w:ascii="宋体" w:hAnsi="宋体" w:eastAsia="宋体" w:cs="宋体"/>
          <w:strike/>
          <w:spacing w:val="-1"/>
          <w:sz w:val="24"/>
          <w:szCs w:val="24"/>
        </w:rPr>
        <w:t>屋面工程施工必须符合下列安全规定：</w:t>
      </w:r>
    </w:p>
    <w:p w14:paraId="4B1D8A82">
      <w:pPr>
        <w:spacing w:before="154" w:line="220" w:lineRule="auto"/>
        <w:ind w:left="762"/>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严禁在雨天、雪天和五级风及其以上时施工；</w:t>
      </w:r>
    </w:p>
    <w:p w14:paraId="2C5C92D2">
      <w:pPr>
        <w:spacing w:before="155" w:line="280" w:lineRule="auto"/>
        <w:ind w:left="282" w:right="686" w:firstLine="456"/>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屋面周边和预留孔洞部位，必须按临边、洞口防护规定设置</w:t>
      </w:r>
      <w:r>
        <w:rPr>
          <w:rFonts w:ascii="宋体" w:hAnsi="宋体" w:eastAsia="宋体" w:cs="宋体"/>
          <w:strike/>
          <w:spacing w:val="-1"/>
          <w:sz w:val="24"/>
          <w:szCs w:val="24"/>
        </w:rPr>
        <w:t>安全护栏和安全</w:t>
      </w:r>
      <w:r>
        <w:rPr>
          <w:rFonts w:ascii="宋体" w:hAnsi="宋体" w:eastAsia="宋体" w:cs="宋体"/>
          <w:sz w:val="24"/>
          <w:szCs w:val="24"/>
        </w:rPr>
        <w:t xml:space="preserve"> </w:t>
      </w:r>
      <w:r>
        <w:rPr>
          <w:rFonts w:ascii="宋体" w:hAnsi="宋体" w:eastAsia="宋体" w:cs="宋体"/>
          <w:strike/>
          <w:spacing w:val="-8"/>
          <w:sz w:val="24"/>
          <w:szCs w:val="24"/>
        </w:rPr>
        <w:t>网；</w:t>
      </w:r>
    </w:p>
    <w:p w14:paraId="6FCE20A8">
      <w:pPr>
        <w:spacing w:before="152" w:line="219" w:lineRule="auto"/>
        <w:ind w:left="744"/>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屋面坡度大于</w:t>
      </w:r>
      <w:r>
        <w:rPr>
          <w:rFonts w:ascii="宋体" w:hAnsi="宋体" w:eastAsia="宋体" w:cs="宋体"/>
          <w:strike/>
          <w:spacing w:val="-47"/>
          <w:sz w:val="24"/>
          <w:szCs w:val="24"/>
        </w:rPr>
        <w:t xml:space="preserve"> </w:t>
      </w:r>
      <w:r>
        <w:rPr>
          <w:rFonts w:ascii="Times New Roman" w:hAnsi="Times New Roman" w:eastAsia="Times New Roman" w:cs="Times New Roman"/>
          <w:strike/>
          <w:spacing w:val="-1"/>
          <w:sz w:val="24"/>
          <w:szCs w:val="24"/>
        </w:rPr>
        <w:t>30%</w:t>
      </w:r>
      <w:r>
        <w:rPr>
          <w:rFonts w:ascii="宋体" w:hAnsi="宋体" w:eastAsia="宋体" w:cs="宋体"/>
          <w:strike/>
          <w:spacing w:val="-1"/>
          <w:sz w:val="24"/>
          <w:szCs w:val="24"/>
        </w:rPr>
        <w:t>时，应采取防滑措施；</w:t>
      </w:r>
    </w:p>
    <w:p w14:paraId="191C9AA4">
      <w:pPr>
        <w:spacing w:before="155" w:line="279" w:lineRule="auto"/>
        <w:ind w:left="270" w:right="446" w:firstLine="468"/>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施工人员应穿防滑鞋，特殊情况下无可靠安全措施时，操作人员必</w:t>
      </w:r>
      <w:r>
        <w:rPr>
          <w:rFonts w:ascii="宋体" w:hAnsi="宋体" w:eastAsia="宋体" w:cs="宋体"/>
          <w:strike/>
          <w:spacing w:val="-1"/>
          <w:sz w:val="24"/>
          <w:szCs w:val="24"/>
        </w:rPr>
        <w:t>须系好安全</w:t>
      </w:r>
      <w:r>
        <w:rPr>
          <w:rFonts w:ascii="宋体" w:hAnsi="宋体" w:eastAsia="宋体" w:cs="宋体"/>
          <w:sz w:val="24"/>
          <w:szCs w:val="24"/>
        </w:rPr>
        <w:t xml:space="preserve"> </w:t>
      </w:r>
      <w:r>
        <w:rPr>
          <w:rFonts w:ascii="宋体" w:hAnsi="宋体" w:eastAsia="宋体" w:cs="宋体"/>
          <w:strike/>
          <w:spacing w:val="-2"/>
          <w:sz w:val="24"/>
          <w:szCs w:val="24"/>
        </w:rPr>
        <w:t>带并扣好保险钩。</w:t>
      </w:r>
    </w:p>
    <w:p w14:paraId="75705EA2">
      <w:pPr>
        <w:spacing w:before="201" w:line="226" w:lineRule="auto"/>
        <w:ind w:left="258"/>
        <w:outlineLvl w:val="1"/>
        <w:rPr>
          <w:rFonts w:ascii="宋体" w:hAnsi="宋体" w:eastAsia="宋体" w:cs="宋体"/>
          <w:sz w:val="27"/>
          <w:szCs w:val="27"/>
        </w:rPr>
      </w:pPr>
      <w:bookmarkStart w:id="53" w:name="bookmark100"/>
      <w:bookmarkEnd w:id="53"/>
      <w:r>
        <w:rPr>
          <w:rFonts w:ascii="Times New Roman" w:hAnsi="Times New Roman" w:eastAsia="Times New Roman" w:cs="Times New Roman"/>
          <w:b/>
          <w:bCs/>
          <w:spacing w:val="6"/>
          <w:sz w:val="27"/>
          <w:szCs w:val="27"/>
        </w:rPr>
        <w:t>3.</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50693-2011  </w:t>
      </w:r>
      <w:r>
        <w:rPr>
          <w:rFonts w:ascii="宋体" w:hAnsi="宋体" w:eastAsia="宋体" w:cs="宋体"/>
          <w:b/>
          <w:bCs/>
          <w:spacing w:val="6"/>
          <w:sz w:val="27"/>
          <w:szCs w:val="27"/>
        </w:rPr>
        <w:t>坡屋面工程技术规范【</w:t>
      </w:r>
      <w:r>
        <w:rPr>
          <w:rFonts w:ascii="宋体" w:hAnsi="宋体" w:eastAsia="宋体" w:cs="宋体"/>
          <w:b/>
          <w:bCs/>
          <w:spacing w:val="5"/>
          <w:sz w:val="27"/>
          <w:szCs w:val="27"/>
        </w:rPr>
        <w:t>强条已废】</w:t>
      </w:r>
    </w:p>
    <w:p w14:paraId="1A53F5A3">
      <w:pPr>
        <w:spacing w:before="286" w:line="220" w:lineRule="auto"/>
        <w:ind w:left="290"/>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GB55030-2022 </w:t>
      </w:r>
      <w:r>
        <w:rPr>
          <w:rFonts w:ascii="宋体" w:hAnsi="宋体" w:eastAsia="宋体" w:cs="宋体"/>
          <w:b/>
          <w:bCs/>
          <w:color w:val="0563C1"/>
          <w:spacing w:val="-2"/>
          <w:sz w:val="24"/>
          <w:szCs w:val="24"/>
          <w:u w:val="single" w:color="auto"/>
        </w:rPr>
        <w:t>建筑与市政工程防水通用规范</w:t>
      </w:r>
      <w:r>
        <w:rPr>
          <w:rFonts w:ascii="宋体" w:hAnsi="宋体" w:eastAsia="宋体" w:cs="宋体"/>
          <w:b/>
          <w:bCs/>
          <w:color w:val="EE0000"/>
          <w:spacing w:val="-2"/>
          <w:sz w:val="24"/>
          <w:szCs w:val="24"/>
        </w:rPr>
        <w:t>》替代</w:t>
      </w:r>
    </w:p>
    <w:p w14:paraId="71FE18A1">
      <w:pPr>
        <w:spacing w:before="153" w:line="279" w:lineRule="auto"/>
        <w:ind w:left="271" w:right="426" w:hanging="7"/>
        <w:rPr>
          <w:rFonts w:ascii="宋体" w:hAnsi="宋体" w:eastAsia="宋体" w:cs="宋体"/>
          <w:sz w:val="24"/>
          <w:szCs w:val="24"/>
        </w:rPr>
      </w:pPr>
      <w:r>
        <w:rPr>
          <w:rFonts w:ascii="Times New Roman" w:hAnsi="Times New Roman" w:eastAsia="Times New Roman" w:cs="Times New Roman"/>
          <w:strike/>
          <w:spacing w:val="-2"/>
          <w:sz w:val="24"/>
          <w:szCs w:val="24"/>
        </w:rPr>
        <w:t xml:space="preserve">3.2.10    </w:t>
      </w:r>
      <w:r>
        <w:rPr>
          <w:rFonts w:ascii="宋体" w:hAnsi="宋体" w:eastAsia="宋体" w:cs="宋体"/>
          <w:strike/>
          <w:spacing w:val="-2"/>
          <w:sz w:val="24"/>
          <w:szCs w:val="24"/>
        </w:rPr>
        <w:t>屋面坡度大于</w:t>
      </w:r>
      <w:r>
        <w:rPr>
          <w:rFonts w:ascii="宋体" w:hAnsi="宋体" w:eastAsia="宋体" w:cs="宋体"/>
          <w:strike/>
          <w:spacing w:val="-25"/>
          <w:sz w:val="24"/>
          <w:szCs w:val="24"/>
        </w:rPr>
        <w:t xml:space="preserve"> </w:t>
      </w:r>
      <w:r>
        <w:rPr>
          <w:rFonts w:ascii="Times New Roman" w:hAnsi="Times New Roman" w:eastAsia="Times New Roman" w:cs="Times New Roman"/>
          <w:strike/>
          <w:spacing w:val="-2"/>
          <w:sz w:val="24"/>
          <w:szCs w:val="24"/>
        </w:rPr>
        <w:t>100%</w:t>
      </w:r>
      <w:r>
        <w:rPr>
          <w:rFonts w:ascii="Times New Roman" w:hAnsi="Times New Roman" w:eastAsia="Times New Roman" w:cs="Times New Roman"/>
          <w:strike/>
          <w:spacing w:val="-23"/>
          <w:sz w:val="24"/>
          <w:szCs w:val="24"/>
        </w:rPr>
        <w:t xml:space="preserve"> </w:t>
      </w:r>
      <w:r>
        <w:rPr>
          <w:rFonts w:ascii="宋体" w:hAnsi="宋体" w:eastAsia="宋体" w:cs="宋体"/>
          <w:strike/>
          <w:spacing w:val="-2"/>
          <w:sz w:val="24"/>
          <w:szCs w:val="24"/>
        </w:rPr>
        <w:t>以及大风和抗震设防烈度为</w:t>
      </w:r>
      <w:r>
        <w:rPr>
          <w:rFonts w:ascii="宋体" w:hAnsi="宋体" w:eastAsia="宋体" w:cs="宋体"/>
          <w:strike/>
          <w:spacing w:val="-51"/>
          <w:sz w:val="24"/>
          <w:szCs w:val="24"/>
        </w:rPr>
        <w:t xml:space="preserve"> </w:t>
      </w:r>
      <w:r>
        <w:rPr>
          <w:rFonts w:ascii="Times New Roman" w:hAnsi="Times New Roman" w:eastAsia="Times New Roman" w:cs="Times New Roman"/>
          <w:strike/>
          <w:spacing w:val="-2"/>
          <w:sz w:val="24"/>
          <w:szCs w:val="24"/>
        </w:rPr>
        <w:t xml:space="preserve">7 </w:t>
      </w:r>
      <w:r>
        <w:rPr>
          <w:rFonts w:ascii="宋体" w:hAnsi="宋体" w:eastAsia="宋体" w:cs="宋体"/>
          <w:strike/>
          <w:spacing w:val="-2"/>
          <w:sz w:val="24"/>
          <w:szCs w:val="24"/>
        </w:rPr>
        <w:t>度以上的地区，应采取加强</w:t>
      </w:r>
      <w:r>
        <w:rPr>
          <w:rFonts w:ascii="宋体" w:hAnsi="宋体" w:eastAsia="宋体" w:cs="宋体"/>
          <w:sz w:val="24"/>
          <w:szCs w:val="24"/>
        </w:rPr>
        <w:t xml:space="preserve"> </w:t>
      </w:r>
      <w:r>
        <w:rPr>
          <w:rFonts w:ascii="宋体" w:hAnsi="宋体" w:eastAsia="宋体" w:cs="宋体"/>
          <w:strike/>
          <w:spacing w:val="-2"/>
          <w:sz w:val="24"/>
          <w:szCs w:val="24"/>
        </w:rPr>
        <w:t>瓦材固定等防止瓦材下滑的措施。</w:t>
      </w:r>
    </w:p>
    <w:p w14:paraId="0A776D1B">
      <w:pPr>
        <w:spacing w:before="156" w:line="219" w:lineRule="auto"/>
        <w:ind w:left="264"/>
        <w:rPr>
          <w:rFonts w:ascii="宋体" w:hAnsi="宋体" w:eastAsia="宋体" w:cs="宋体"/>
          <w:sz w:val="24"/>
          <w:szCs w:val="24"/>
        </w:rPr>
      </w:pPr>
      <w:r>
        <w:rPr>
          <w:rFonts w:ascii="Times New Roman" w:hAnsi="Times New Roman" w:eastAsia="Times New Roman" w:cs="Times New Roman"/>
          <w:strike/>
          <w:sz w:val="24"/>
          <w:szCs w:val="24"/>
        </w:rPr>
        <w:t xml:space="preserve">3.2.17    </w:t>
      </w:r>
      <w:r>
        <w:rPr>
          <w:rFonts w:ascii="宋体" w:hAnsi="宋体" w:eastAsia="宋体" w:cs="宋体"/>
          <w:strike/>
          <w:sz w:val="24"/>
          <w:szCs w:val="24"/>
        </w:rPr>
        <w:t>严寒和寒冷地区的坡屋面檐口部位应采取</w:t>
      </w:r>
      <w:r>
        <w:rPr>
          <w:rFonts w:ascii="宋体" w:hAnsi="宋体" w:eastAsia="宋体" w:cs="宋体"/>
          <w:strike/>
          <w:spacing w:val="-1"/>
          <w:sz w:val="24"/>
          <w:szCs w:val="24"/>
        </w:rPr>
        <w:t>防冰雪融坠的安全措施。</w:t>
      </w:r>
    </w:p>
    <w:p w14:paraId="68686F48">
      <w:pPr>
        <w:spacing w:before="154" w:line="220" w:lineRule="auto"/>
        <w:ind w:left="264"/>
        <w:rPr>
          <w:rFonts w:ascii="宋体" w:hAnsi="宋体" w:eastAsia="宋体" w:cs="宋体"/>
          <w:sz w:val="24"/>
          <w:szCs w:val="24"/>
        </w:rPr>
      </w:pPr>
      <w:r>
        <w:rPr>
          <w:rFonts w:ascii="Times New Roman" w:hAnsi="Times New Roman" w:eastAsia="Times New Roman" w:cs="Times New Roman"/>
          <w:strike/>
          <w:spacing w:val="-1"/>
          <w:sz w:val="24"/>
          <w:szCs w:val="24"/>
        </w:rPr>
        <w:t xml:space="preserve">3.3.12    </w:t>
      </w:r>
      <w:r>
        <w:rPr>
          <w:rFonts w:ascii="宋体" w:hAnsi="宋体" w:eastAsia="宋体" w:cs="宋体"/>
          <w:strike/>
          <w:spacing w:val="-1"/>
          <w:sz w:val="24"/>
          <w:szCs w:val="24"/>
        </w:rPr>
        <w:t>坡屋面工程应符合下列规定：</w:t>
      </w:r>
    </w:p>
    <w:p w14:paraId="248D6BA9">
      <w:pPr>
        <w:spacing w:before="156" w:line="280" w:lineRule="auto"/>
        <w:ind w:left="262" w:right="446" w:firstLine="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屋面周边和预留孔洞部位必须设置安全护栏和安全网或其他防止坠落的防护措</w:t>
      </w:r>
      <w:r>
        <w:rPr>
          <w:rFonts w:ascii="宋体" w:hAnsi="宋体" w:eastAsia="宋体" w:cs="宋体"/>
          <w:spacing w:val="7"/>
          <w:sz w:val="24"/>
          <w:szCs w:val="24"/>
        </w:rPr>
        <w:t xml:space="preserve"> </w:t>
      </w:r>
      <w:r>
        <w:rPr>
          <w:rFonts w:ascii="宋体" w:hAnsi="宋体" w:eastAsia="宋体" w:cs="宋体"/>
          <w:strike/>
          <w:spacing w:val="-3"/>
          <w:sz w:val="24"/>
          <w:szCs w:val="24"/>
        </w:rPr>
        <w:t>施；</w:t>
      </w:r>
    </w:p>
    <w:p w14:paraId="3921542A">
      <w:pPr>
        <w:spacing w:before="151" w:line="219" w:lineRule="auto"/>
        <w:ind w:left="739"/>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屋面坡度大于</w:t>
      </w:r>
      <w:r>
        <w:rPr>
          <w:rFonts w:ascii="宋体" w:hAnsi="宋体" w:eastAsia="宋体" w:cs="宋体"/>
          <w:strike/>
          <w:spacing w:val="-42"/>
          <w:sz w:val="24"/>
          <w:szCs w:val="24"/>
        </w:rPr>
        <w:t xml:space="preserve"> </w:t>
      </w:r>
      <w:r>
        <w:rPr>
          <w:rFonts w:ascii="Times New Roman" w:hAnsi="Times New Roman" w:eastAsia="Times New Roman" w:cs="Times New Roman"/>
          <w:strike/>
          <w:spacing w:val="-1"/>
          <w:sz w:val="24"/>
          <w:szCs w:val="24"/>
        </w:rPr>
        <w:t>30%</w:t>
      </w:r>
      <w:r>
        <w:rPr>
          <w:rFonts w:ascii="宋体" w:hAnsi="宋体" w:eastAsia="宋体" w:cs="宋体"/>
          <w:strike/>
          <w:spacing w:val="-1"/>
          <w:sz w:val="24"/>
          <w:szCs w:val="24"/>
        </w:rPr>
        <w:t>时，应采取防滑措施；</w:t>
      </w:r>
    </w:p>
    <w:p w14:paraId="61C4A381">
      <w:pPr>
        <w:spacing w:before="155" w:line="219" w:lineRule="auto"/>
        <w:ind w:left="744"/>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施工人员应戴安全帽，系安全带和穿防滑鞋；</w:t>
      </w:r>
    </w:p>
    <w:p w14:paraId="4B4EF812">
      <w:pPr>
        <w:spacing w:line="219" w:lineRule="auto"/>
        <w:rPr>
          <w:rFonts w:ascii="宋体" w:hAnsi="宋体" w:eastAsia="宋体" w:cs="宋体"/>
          <w:sz w:val="24"/>
          <w:szCs w:val="24"/>
        </w:rPr>
        <w:sectPr>
          <w:footerReference r:id="rId41" w:type="default"/>
          <w:pgSz w:w="11907" w:h="16839"/>
          <w:pgMar w:top="400" w:right="1162" w:bottom="743" w:left="1162" w:header="0" w:footer="582" w:gutter="0"/>
          <w:cols w:space="720" w:num="1"/>
        </w:sectPr>
      </w:pPr>
    </w:p>
    <w:p w14:paraId="13F4A1D7">
      <w:pPr>
        <w:pStyle w:val="2"/>
        <w:spacing w:line="303" w:lineRule="auto"/>
      </w:pPr>
    </w:p>
    <w:p w14:paraId="1DCA3D7B">
      <w:pPr>
        <w:pStyle w:val="2"/>
        <w:spacing w:line="303" w:lineRule="auto"/>
      </w:pPr>
    </w:p>
    <w:p w14:paraId="270342DA">
      <w:pPr>
        <w:pStyle w:val="2"/>
        <w:spacing w:line="303" w:lineRule="auto"/>
      </w:pPr>
    </w:p>
    <w:p w14:paraId="34A70E26">
      <w:pPr>
        <w:spacing w:before="78" w:line="220" w:lineRule="auto"/>
        <w:ind w:left="455"/>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雨天、雪天和五级风及以上时不得施工；</w:t>
      </w:r>
    </w:p>
    <w:p w14:paraId="12C0AAD3">
      <w:pPr>
        <w:spacing w:before="154" w:line="220" w:lineRule="auto"/>
        <w:ind w:left="463"/>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施工现场应设置消防设施，并应加强火源管理。</w:t>
      </w:r>
    </w:p>
    <w:p w14:paraId="4048F7B4">
      <w:pPr>
        <w:spacing w:before="154" w:line="290" w:lineRule="auto"/>
        <w:ind w:left="2786" w:right="361" w:hanging="2786"/>
        <w:rPr>
          <w:rFonts w:ascii="宋体" w:hAnsi="宋体" w:eastAsia="宋体" w:cs="宋体"/>
          <w:sz w:val="21"/>
          <w:szCs w:val="21"/>
        </w:rPr>
      </w:pPr>
      <w:r>
        <w:rPr>
          <w:rFonts w:ascii="Times New Roman" w:hAnsi="Times New Roman" w:eastAsia="Times New Roman" w:cs="Times New Roman"/>
          <w:strike/>
          <w:spacing w:val="-2"/>
          <w:sz w:val="24"/>
          <w:szCs w:val="24"/>
        </w:rPr>
        <w:t xml:space="preserve">10.2.1    </w:t>
      </w:r>
      <w:r>
        <w:rPr>
          <w:rFonts w:ascii="宋体" w:hAnsi="宋体" w:eastAsia="宋体" w:cs="宋体"/>
          <w:strike/>
          <w:spacing w:val="-2"/>
          <w:sz w:val="24"/>
          <w:szCs w:val="24"/>
        </w:rPr>
        <w:t>单层防水卷材的厚度和搭接宽度应符合表</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10</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 xml:space="preserve">1-1 </w:t>
      </w:r>
      <w:r>
        <w:rPr>
          <w:rFonts w:ascii="宋体" w:hAnsi="宋体" w:eastAsia="宋体" w:cs="宋体"/>
          <w:strike/>
          <w:spacing w:val="-2"/>
          <w:sz w:val="24"/>
          <w:szCs w:val="24"/>
        </w:rPr>
        <w:t>和表</w:t>
      </w:r>
      <w:r>
        <w:rPr>
          <w:rFonts w:ascii="宋体" w:hAnsi="宋体" w:eastAsia="宋体" w:cs="宋体"/>
          <w:strike/>
          <w:spacing w:val="-32"/>
          <w:sz w:val="24"/>
          <w:szCs w:val="24"/>
        </w:rPr>
        <w:t xml:space="preserve"> </w:t>
      </w:r>
      <w:r>
        <w:rPr>
          <w:rFonts w:ascii="Times New Roman" w:hAnsi="Times New Roman" w:eastAsia="Times New Roman" w:cs="Times New Roman"/>
          <w:strike/>
          <w:spacing w:val="-3"/>
          <w:sz w:val="24"/>
          <w:szCs w:val="24"/>
        </w:rPr>
        <w:t>10</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2</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1-2</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3"/>
          <w:sz w:val="24"/>
          <w:szCs w:val="24"/>
        </w:rPr>
        <w:t>的规定：</w:t>
      </w:r>
      <w:r>
        <w:rPr>
          <w:rFonts w:ascii="宋体" w:hAnsi="宋体" w:eastAsia="宋体" w:cs="宋体"/>
          <w:sz w:val="24"/>
          <w:szCs w:val="24"/>
        </w:rPr>
        <w:t xml:space="preserve"> </w:t>
      </w:r>
      <w:r>
        <w:rPr>
          <w:rFonts w:ascii="宋体" w:hAnsi="宋体" w:eastAsia="宋体" w:cs="宋体"/>
          <w:strike/>
          <w:spacing w:val="-2"/>
          <w:sz w:val="21"/>
          <w:szCs w:val="21"/>
        </w:rPr>
        <w:t>表</w:t>
      </w:r>
      <w:r>
        <w:rPr>
          <w:rFonts w:ascii="宋体" w:hAnsi="宋体" w:eastAsia="宋体" w:cs="宋体"/>
          <w:strike/>
          <w:spacing w:val="-12"/>
          <w:sz w:val="21"/>
          <w:szCs w:val="21"/>
        </w:rPr>
        <w:t xml:space="preserve"> </w:t>
      </w:r>
      <w:r>
        <w:rPr>
          <w:rFonts w:ascii="Times New Roman" w:hAnsi="Times New Roman" w:eastAsia="Times New Roman" w:cs="Times New Roman"/>
          <w:strike/>
          <w:spacing w:val="-2"/>
          <w:sz w:val="21"/>
          <w:szCs w:val="21"/>
        </w:rPr>
        <w:t>10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 xml:space="preserve">2.1-1    </w:t>
      </w:r>
      <w:r>
        <w:rPr>
          <w:rFonts w:ascii="宋体" w:hAnsi="宋体" w:eastAsia="宋体" w:cs="宋体"/>
          <w:strike/>
          <w:spacing w:val="-2"/>
          <w:sz w:val="21"/>
          <w:szCs w:val="21"/>
        </w:rPr>
        <w:t>单层防水卷材厚度</w:t>
      </w:r>
      <w:r>
        <w:rPr>
          <w:rFonts w:ascii="Times New Roman" w:hAnsi="Times New Roman" w:eastAsia="Times New Roman" w:cs="Times New Roman"/>
          <w:strike/>
          <w:spacing w:val="-2"/>
          <w:sz w:val="21"/>
          <w:szCs w:val="21"/>
        </w:rPr>
        <w:t>(mm</w:t>
      </w:r>
      <w:r>
        <w:rPr>
          <w:rFonts w:ascii="Times New Roman" w:hAnsi="Times New Roman" w:eastAsia="Times New Roman" w:cs="Times New Roman"/>
          <w:strike/>
          <w:spacing w:val="-22"/>
          <w:sz w:val="21"/>
          <w:szCs w:val="21"/>
        </w:rPr>
        <w:t xml:space="preserve"> </w:t>
      </w:r>
      <w:r>
        <w:rPr>
          <w:rFonts w:ascii="宋体" w:hAnsi="宋体" w:eastAsia="宋体" w:cs="宋体"/>
          <w:strike/>
          <w:spacing w:val="-2"/>
          <w:sz w:val="21"/>
          <w:szCs w:val="21"/>
        </w:rPr>
        <w:t>）</w:t>
      </w:r>
    </w:p>
    <w:p w14:paraId="39BCBB8C">
      <w:pPr>
        <w:spacing w:line="26" w:lineRule="exact"/>
      </w:pPr>
    </w:p>
    <w:tbl>
      <w:tblPr>
        <w:tblStyle w:val="5"/>
        <w:tblW w:w="8526" w:type="dxa"/>
        <w:tblInd w:w="2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57"/>
        <w:gridCol w:w="2428"/>
        <w:gridCol w:w="2641"/>
      </w:tblGrid>
      <w:tr w14:paraId="650A1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457" w:type="dxa"/>
            <w:vAlign w:val="top"/>
          </w:tcPr>
          <w:p w14:paraId="24EA550B">
            <w:pPr>
              <w:pStyle w:val="6"/>
              <w:spacing w:before="176" w:line="219" w:lineRule="auto"/>
              <w:ind w:left="1118"/>
            </w:pPr>
            <w:r>
              <w:rPr>
                <w:spacing w:val="-3"/>
              </w:rPr>
              <w:t>防水卷材名称</w:t>
            </w:r>
          </w:p>
        </w:tc>
        <w:tc>
          <w:tcPr>
            <w:tcW w:w="2428" w:type="dxa"/>
            <w:vAlign w:val="top"/>
          </w:tcPr>
          <w:p w14:paraId="564C4038">
            <w:pPr>
              <w:pStyle w:val="6"/>
              <w:spacing w:before="176" w:line="220" w:lineRule="auto"/>
              <w:ind w:left="593"/>
            </w:pPr>
            <w:r>
              <w:rPr>
                <w:spacing w:val="-2"/>
              </w:rPr>
              <w:t>一级防水厚度</w:t>
            </w:r>
          </w:p>
        </w:tc>
        <w:tc>
          <w:tcPr>
            <w:tcW w:w="2641" w:type="dxa"/>
            <w:vAlign w:val="top"/>
          </w:tcPr>
          <w:p w14:paraId="6989E3DE">
            <w:pPr>
              <w:pStyle w:val="6"/>
              <w:spacing w:before="176" w:line="220" w:lineRule="auto"/>
              <w:ind w:left="699"/>
            </w:pPr>
            <w:r>
              <w:rPr>
                <w:spacing w:val="-2"/>
              </w:rPr>
              <w:t>二级防水厚度</w:t>
            </w:r>
          </w:p>
        </w:tc>
      </w:tr>
      <w:tr w14:paraId="3A3A1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3457" w:type="dxa"/>
            <w:vAlign w:val="top"/>
          </w:tcPr>
          <w:p w14:paraId="0EA538C8">
            <w:pPr>
              <w:pStyle w:val="6"/>
              <w:spacing w:before="173" w:line="219" w:lineRule="auto"/>
              <w:ind w:left="1006"/>
            </w:pPr>
            <w:r>
              <w:rPr>
                <w:spacing w:val="-2"/>
              </w:rPr>
              <w:t>高分子防水卷材</w:t>
            </w:r>
          </w:p>
        </w:tc>
        <w:tc>
          <w:tcPr>
            <w:tcW w:w="2428" w:type="dxa"/>
            <w:vAlign w:val="top"/>
          </w:tcPr>
          <w:p w14:paraId="1ACA288D">
            <w:pPr>
              <w:pStyle w:val="6"/>
              <w:spacing w:before="173" w:line="228" w:lineRule="auto"/>
              <w:ind w:left="1004"/>
              <w:rPr>
                <w:rFonts w:ascii="Times New Roman" w:hAnsi="Times New Roman" w:eastAsia="Times New Roman" w:cs="Times New Roman"/>
              </w:rPr>
            </w:pPr>
            <w:r>
              <w:rPr>
                <w:spacing w:val="-7"/>
              </w:rPr>
              <w:t>≥</w:t>
            </w:r>
            <w:r>
              <w:rPr>
                <w:rFonts w:ascii="Times New Roman" w:hAnsi="Times New Roman" w:eastAsia="Times New Roman" w:cs="Times New Roman"/>
                <w:spacing w:val="-7"/>
              </w:rPr>
              <w:t>1.5</w:t>
            </w:r>
          </w:p>
        </w:tc>
        <w:tc>
          <w:tcPr>
            <w:tcW w:w="2641" w:type="dxa"/>
            <w:vAlign w:val="top"/>
          </w:tcPr>
          <w:p w14:paraId="0E65C471">
            <w:pPr>
              <w:pStyle w:val="6"/>
              <w:spacing w:before="173" w:line="228" w:lineRule="auto"/>
              <w:ind w:left="1110"/>
              <w:rPr>
                <w:rFonts w:ascii="Times New Roman" w:hAnsi="Times New Roman" w:eastAsia="Times New Roman" w:cs="Times New Roman"/>
              </w:rPr>
            </w:pPr>
            <w:r>
              <w:rPr>
                <w:spacing w:val="-7"/>
              </w:rPr>
              <w:t>≥</w:t>
            </w:r>
            <w:r>
              <w:rPr>
                <w:rFonts w:ascii="Times New Roman" w:hAnsi="Times New Roman" w:eastAsia="Times New Roman" w:cs="Times New Roman"/>
                <w:spacing w:val="-7"/>
              </w:rPr>
              <w:t>1.2</w:t>
            </w:r>
          </w:p>
        </w:tc>
      </w:tr>
      <w:tr w14:paraId="64D63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457" w:type="dxa"/>
            <w:vAlign w:val="top"/>
          </w:tcPr>
          <w:p w14:paraId="45F3241F">
            <w:pPr>
              <w:pStyle w:val="6"/>
              <w:spacing w:before="175" w:line="219" w:lineRule="auto"/>
              <w:ind w:left="163"/>
            </w:pPr>
            <w:r>
              <w:rPr>
                <w:spacing w:val="-1"/>
              </w:rPr>
              <w:t>弹性体、塑性体改性沥青防水卷材</w:t>
            </w:r>
          </w:p>
        </w:tc>
        <w:tc>
          <w:tcPr>
            <w:tcW w:w="5069" w:type="dxa"/>
            <w:gridSpan w:val="2"/>
            <w:vAlign w:val="top"/>
          </w:tcPr>
          <w:p w14:paraId="6BF4244F">
            <w:pPr>
              <w:pStyle w:val="6"/>
              <w:spacing w:before="176" w:line="230" w:lineRule="auto"/>
              <w:ind w:left="2402"/>
              <w:rPr>
                <w:rFonts w:ascii="Times New Roman" w:hAnsi="Times New Roman" w:eastAsia="Times New Roman" w:cs="Times New Roman"/>
              </w:rPr>
            </w:pPr>
            <w:r>
              <w:rPr>
                <w:spacing w:val="-15"/>
              </w:rPr>
              <w:t>≥</w:t>
            </w:r>
            <w:r>
              <w:rPr>
                <w:rFonts w:ascii="Times New Roman" w:hAnsi="Times New Roman" w:eastAsia="Times New Roman" w:cs="Times New Roman"/>
                <w:spacing w:val="-15"/>
              </w:rPr>
              <w:t>5</w:t>
            </w:r>
          </w:p>
        </w:tc>
      </w:tr>
    </w:tbl>
    <w:p w14:paraId="54A694DD">
      <w:pPr>
        <w:pStyle w:val="2"/>
        <w:spacing w:line="270" w:lineRule="auto"/>
      </w:pPr>
    </w:p>
    <w:p w14:paraId="6CFD4B6D">
      <w:pPr>
        <w:pStyle w:val="2"/>
        <w:spacing w:line="270" w:lineRule="auto"/>
      </w:pPr>
    </w:p>
    <w:p w14:paraId="3E92D4C0">
      <w:pPr>
        <w:spacing w:before="69" w:line="219" w:lineRule="auto"/>
        <w:ind w:left="2505"/>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28"/>
          <w:sz w:val="21"/>
          <w:szCs w:val="21"/>
        </w:rPr>
        <w:t xml:space="preserve"> </w:t>
      </w:r>
      <w:r>
        <w:rPr>
          <w:rFonts w:ascii="Times New Roman" w:hAnsi="Times New Roman" w:eastAsia="Times New Roman" w:cs="Times New Roman"/>
          <w:strike/>
          <w:spacing w:val="-1"/>
          <w:sz w:val="21"/>
          <w:szCs w:val="21"/>
        </w:rPr>
        <w:t>10</w:t>
      </w:r>
      <w:r>
        <w:rPr>
          <w:rFonts w:ascii="Times New Roman" w:hAnsi="Times New Roman" w:eastAsia="Times New Roman" w:cs="Times New Roman"/>
          <w:spacing w:val="-1"/>
          <w:sz w:val="21"/>
          <w:szCs w:val="21"/>
        </w:rPr>
        <w:t>.</w:t>
      </w:r>
      <w:r>
        <w:rPr>
          <w:rFonts w:ascii="Times New Roman" w:hAnsi="Times New Roman" w:eastAsia="Times New Roman" w:cs="Times New Roman"/>
          <w:strike/>
          <w:spacing w:val="-1"/>
          <w:sz w:val="21"/>
          <w:szCs w:val="21"/>
        </w:rPr>
        <w:t xml:space="preserve">2.1-2    </w:t>
      </w:r>
      <w:r>
        <w:rPr>
          <w:rFonts w:ascii="宋体" w:hAnsi="宋体" w:eastAsia="宋体" w:cs="宋体"/>
          <w:strike/>
          <w:spacing w:val="-1"/>
          <w:sz w:val="21"/>
          <w:szCs w:val="21"/>
        </w:rPr>
        <w:t>单层防水卷材搭</w:t>
      </w:r>
      <w:r>
        <w:rPr>
          <w:rFonts w:ascii="宋体" w:hAnsi="宋体" w:eastAsia="宋体" w:cs="宋体"/>
          <w:strike/>
          <w:spacing w:val="-2"/>
          <w:sz w:val="21"/>
          <w:szCs w:val="21"/>
        </w:rPr>
        <w:t>接宽度（</w:t>
      </w:r>
      <w:r>
        <w:rPr>
          <w:rFonts w:ascii="Times New Roman" w:hAnsi="Times New Roman" w:eastAsia="Times New Roman" w:cs="Times New Roman"/>
          <w:strike/>
          <w:spacing w:val="-2"/>
          <w:sz w:val="21"/>
          <w:szCs w:val="21"/>
        </w:rPr>
        <w:t>mm</w:t>
      </w:r>
      <w:r>
        <w:rPr>
          <w:rFonts w:ascii="Times New Roman" w:hAnsi="Times New Roman" w:eastAsia="Times New Roman" w:cs="Times New Roman"/>
          <w:strike/>
          <w:spacing w:val="-22"/>
          <w:sz w:val="21"/>
          <w:szCs w:val="21"/>
        </w:rPr>
        <w:t xml:space="preserve"> </w:t>
      </w:r>
      <w:r>
        <w:rPr>
          <w:rFonts w:ascii="宋体" w:hAnsi="宋体" w:eastAsia="宋体" w:cs="宋体"/>
          <w:strike/>
          <w:spacing w:val="-2"/>
          <w:sz w:val="21"/>
          <w:szCs w:val="21"/>
        </w:rPr>
        <w:t>）</w:t>
      </w:r>
    </w:p>
    <w:p w14:paraId="3762BFDC">
      <w:pPr>
        <w:spacing w:line="19" w:lineRule="exact"/>
      </w:pPr>
    </w:p>
    <w:tbl>
      <w:tblPr>
        <w:tblStyle w:val="5"/>
        <w:tblW w:w="8526" w:type="dxa"/>
        <w:tblInd w:w="2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4"/>
        <w:gridCol w:w="1419"/>
        <w:gridCol w:w="1418"/>
        <w:gridCol w:w="1420"/>
        <w:gridCol w:w="1420"/>
        <w:gridCol w:w="1425"/>
      </w:tblGrid>
      <w:tr w14:paraId="52CCA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424" w:type="dxa"/>
            <w:vMerge w:val="restart"/>
            <w:tcBorders>
              <w:bottom w:val="nil"/>
            </w:tcBorders>
            <w:vAlign w:val="top"/>
          </w:tcPr>
          <w:p w14:paraId="014F32D4">
            <w:pPr>
              <w:spacing w:line="297" w:lineRule="auto"/>
              <w:rPr>
                <w:rFonts w:ascii="Arial"/>
                <w:sz w:val="21"/>
              </w:rPr>
            </w:pPr>
          </w:p>
          <w:p w14:paraId="12859C8D">
            <w:pPr>
              <w:spacing w:line="297" w:lineRule="auto"/>
              <w:rPr>
                <w:rFonts w:ascii="Arial"/>
                <w:sz w:val="21"/>
              </w:rPr>
            </w:pPr>
          </w:p>
          <w:p w14:paraId="6F8F7E70">
            <w:pPr>
              <w:pStyle w:val="6"/>
              <w:spacing w:before="68" w:line="219" w:lineRule="auto"/>
              <w:ind w:left="206"/>
            </w:pPr>
            <w:r>
              <w:rPr>
                <w:spacing w:val="-4"/>
              </w:rPr>
              <w:t>防水卷材名</w:t>
            </w:r>
          </w:p>
          <w:p w14:paraId="2737BCE1">
            <w:pPr>
              <w:pStyle w:val="6"/>
              <w:spacing w:before="110" w:line="222" w:lineRule="auto"/>
              <w:ind w:left="611"/>
            </w:pPr>
            <w:r>
              <w:t>称</w:t>
            </w:r>
          </w:p>
        </w:tc>
        <w:tc>
          <w:tcPr>
            <w:tcW w:w="7102" w:type="dxa"/>
            <w:gridSpan w:val="5"/>
            <w:vAlign w:val="top"/>
          </w:tcPr>
          <w:p w14:paraId="60ADCD50">
            <w:pPr>
              <w:pStyle w:val="6"/>
              <w:spacing w:before="112" w:line="217" w:lineRule="auto"/>
              <w:ind w:left="2609"/>
            </w:pPr>
            <w:r>
              <w:rPr>
                <w:spacing w:val="-1"/>
              </w:rPr>
              <w:t>长边、短边搭接方式</w:t>
            </w:r>
          </w:p>
        </w:tc>
      </w:tr>
      <w:tr w14:paraId="7342D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24" w:type="dxa"/>
            <w:vMerge w:val="continue"/>
            <w:tcBorders>
              <w:top w:val="nil"/>
              <w:bottom w:val="nil"/>
            </w:tcBorders>
            <w:vAlign w:val="top"/>
          </w:tcPr>
          <w:p w14:paraId="5A833689">
            <w:pPr>
              <w:rPr>
                <w:rFonts w:ascii="Arial"/>
                <w:sz w:val="21"/>
              </w:rPr>
            </w:pPr>
          </w:p>
        </w:tc>
        <w:tc>
          <w:tcPr>
            <w:tcW w:w="1419" w:type="dxa"/>
            <w:vMerge w:val="restart"/>
            <w:tcBorders>
              <w:bottom w:val="nil"/>
            </w:tcBorders>
            <w:vAlign w:val="top"/>
          </w:tcPr>
          <w:p w14:paraId="682D18CB">
            <w:pPr>
              <w:spacing w:line="293" w:lineRule="auto"/>
              <w:rPr>
                <w:rFonts w:ascii="Arial"/>
                <w:sz w:val="21"/>
              </w:rPr>
            </w:pPr>
          </w:p>
          <w:p w14:paraId="779B73AF">
            <w:pPr>
              <w:spacing w:line="293" w:lineRule="auto"/>
              <w:rPr>
                <w:rFonts w:ascii="Arial"/>
                <w:sz w:val="21"/>
              </w:rPr>
            </w:pPr>
          </w:p>
          <w:p w14:paraId="7D601C22">
            <w:pPr>
              <w:pStyle w:val="6"/>
              <w:spacing w:before="68" w:line="220" w:lineRule="auto"/>
              <w:ind w:left="398"/>
            </w:pPr>
            <w:r>
              <w:rPr>
                <w:spacing w:val="-2"/>
              </w:rPr>
              <w:t>满粘法</w:t>
            </w:r>
          </w:p>
        </w:tc>
        <w:tc>
          <w:tcPr>
            <w:tcW w:w="5683" w:type="dxa"/>
            <w:gridSpan w:val="4"/>
            <w:vAlign w:val="top"/>
          </w:tcPr>
          <w:p w14:paraId="4E1B55CB">
            <w:pPr>
              <w:pStyle w:val="6"/>
              <w:spacing w:before="108" w:line="216" w:lineRule="auto"/>
              <w:ind w:left="2320"/>
            </w:pPr>
            <w:r>
              <w:rPr>
                <w:spacing w:val="-2"/>
              </w:rPr>
              <w:t>机械固定法</w:t>
            </w:r>
          </w:p>
        </w:tc>
      </w:tr>
      <w:tr w14:paraId="36823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424" w:type="dxa"/>
            <w:vMerge w:val="continue"/>
            <w:tcBorders>
              <w:top w:val="nil"/>
              <w:bottom w:val="nil"/>
            </w:tcBorders>
            <w:vAlign w:val="top"/>
          </w:tcPr>
          <w:p w14:paraId="5A778E45">
            <w:pPr>
              <w:rPr>
                <w:rFonts w:ascii="Arial"/>
                <w:sz w:val="21"/>
              </w:rPr>
            </w:pPr>
          </w:p>
        </w:tc>
        <w:tc>
          <w:tcPr>
            <w:tcW w:w="1419" w:type="dxa"/>
            <w:vMerge w:val="continue"/>
            <w:tcBorders>
              <w:top w:val="nil"/>
              <w:bottom w:val="nil"/>
            </w:tcBorders>
            <w:vAlign w:val="top"/>
          </w:tcPr>
          <w:p w14:paraId="7C6EE05D">
            <w:pPr>
              <w:rPr>
                <w:rFonts w:ascii="Arial"/>
                <w:sz w:val="21"/>
              </w:rPr>
            </w:pPr>
          </w:p>
        </w:tc>
        <w:tc>
          <w:tcPr>
            <w:tcW w:w="2838" w:type="dxa"/>
            <w:gridSpan w:val="2"/>
            <w:vAlign w:val="top"/>
          </w:tcPr>
          <w:p w14:paraId="3F48B356">
            <w:pPr>
              <w:pStyle w:val="6"/>
              <w:spacing w:before="109" w:line="216" w:lineRule="auto"/>
              <w:ind w:left="1009"/>
            </w:pPr>
            <w:r>
              <w:rPr>
                <w:spacing w:val="-3"/>
              </w:rPr>
              <w:t>热风焊接</w:t>
            </w:r>
          </w:p>
        </w:tc>
        <w:tc>
          <w:tcPr>
            <w:tcW w:w="2845" w:type="dxa"/>
            <w:gridSpan w:val="2"/>
            <w:vAlign w:val="top"/>
          </w:tcPr>
          <w:p w14:paraId="76B7B50F">
            <w:pPr>
              <w:pStyle w:val="6"/>
              <w:spacing w:before="109" w:line="216" w:lineRule="auto"/>
              <w:ind w:left="1008"/>
            </w:pPr>
            <w:r>
              <w:rPr>
                <w:spacing w:val="-2"/>
              </w:rPr>
              <w:t>搭接胶带</w:t>
            </w:r>
          </w:p>
        </w:tc>
      </w:tr>
      <w:tr w14:paraId="62D07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424" w:type="dxa"/>
            <w:vMerge w:val="continue"/>
            <w:tcBorders>
              <w:top w:val="nil"/>
            </w:tcBorders>
            <w:vAlign w:val="top"/>
          </w:tcPr>
          <w:p w14:paraId="5500D0B9">
            <w:pPr>
              <w:rPr>
                <w:rFonts w:ascii="Arial"/>
                <w:sz w:val="21"/>
              </w:rPr>
            </w:pPr>
          </w:p>
        </w:tc>
        <w:tc>
          <w:tcPr>
            <w:tcW w:w="1419" w:type="dxa"/>
            <w:vMerge w:val="continue"/>
            <w:tcBorders>
              <w:top w:val="nil"/>
            </w:tcBorders>
            <w:vAlign w:val="top"/>
          </w:tcPr>
          <w:p w14:paraId="0689147A">
            <w:pPr>
              <w:rPr>
                <w:rFonts w:ascii="Arial"/>
                <w:sz w:val="21"/>
              </w:rPr>
            </w:pPr>
          </w:p>
        </w:tc>
        <w:tc>
          <w:tcPr>
            <w:tcW w:w="1418" w:type="dxa"/>
            <w:vAlign w:val="top"/>
          </w:tcPr>
          <w:p w14:paraId="1D36FCCC">
            <w:pPr>
              <w:pStyle w:val="6"/>
              <w:spacing w:before="108" w:line="266" w:lineRule="auto"/>
              <w:ind w:left="311" w:right="180" w:hanging="120"/>
            </w:pPr>
            <w:r>
              <w:rPr>
                <w:spacing w:val="-2"/>
              </w:rPr>
              <w:t>无覆盖机械</w:t>
            </w:r>
            <w:r>
              <w:t xml:space="preserve"> </w:t>
            </w:r>
            <w:r>
              <w:rPr>
                <w:spacing w:val="-5"/>
              </w:rPr>
              <w:t>固定垫片</w:t>
            </w:r>
          </w:p>
        </w:tc>
        <w:tc>
          <w:tcPr>
            <w:tcW w:w="1420" w:type="dxa"/>
            <w:vAlign w:val="top"/>
          </w:tcPr>
          <w:p w14:paraId="5CF14ABD">
            <w:pPr>
              <w:pStyle w:val="6"/>
              <w:spacing w:before="108" w:line="266" w:lineRule="auto"/>
              <w:ind w:left="313" w:right="181" w:hanging="121"/>
            </w:pPr>
            <w:r>
              <w:rPr>
                <w:spacing w:val="-2"/>
              </w:rPr>
              <w:t>有覆盖机械</w:t>
            </w:r>
            <w:r>
              <w:t xml:space="preserve"> </w:t>
            </w:r>
            <w:r>
              <w:rPr>
                <w:spacing w:val="-5"/>
              </w:rPr>
              <w:t>固定垫片</w:t>
            </w:r>
          </w:p>
        </w:tc>
        <w:tc>
          <w:tcPr>
            <w:tcW w:w="1420" w:type="dxa"/>
            <w:vAlign w:val="top"/>
          </w:tcPr>
          <w:p w14:paraId="5364D8AD">
            <w:pPr>
              <w:pStyle w:val="6"/>
              <w:spacing w:before="108" w:line="266" w:lineRule="auto"/>
              <w:ind w:left="315" w:right="181" w:hanging="122"/>
            </w:pPr>
            <w:r>
              <w:rPr>
                <w:spacing w:val="-2"/>
              </w:rPr>
              <w:t>无覆盖机械</w:t>
            </w:r>
            <w:r>
              <w:t xml:space="preserve"> </w:t>
            </w:r>
            <w:r>
              <w:rPr>
                <w:spacing w:val="-5"/>
              </w:rPr>
              <w:t>固定垫片</w:t>
            </w:r>
          </w:p>
        </w:tc>
        <w:tc>
          <w:tcPr>
            <w:tcW w:w="1425" w:type="dxa"/>
            <w:vAlign w:val="top"/>
          </w:tcPr>
          <w:p w14:paraId="15C69114">
            <w:pPr>
              <w:pStyle w:val="6"/>
              <w:spacing w:before="108" w:line="266" w:lineRule="auto"/>
              <w:ind w:left="316" w:right="184" w:hanging="122"/>
            </w:pPr>
            <w:r>
              <w:rPr>
                <w:spacing w:val="-2"/>
              </w:rPr>
              <w:t>有覆盖机械</w:t>
            </w:r>
            <w:r>
              <w:t xml:space="preserve"> </w:t>
            </w:r>
            <w:r>
              <w:rPr>
                <w:spacing w:val="-5"/>
              </w:rPr>
              <w:t>固定垫片</w:t>
            </w:r>
          </w:p>
        </w:tc>
      </w:tr>
      <w:tr w14:paraId="29E8C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1424" w:type="dxa"/>
            <w:vAlign w:val="top"/>
          </w:tcPr>
          <w:p w14:paraId="48361696">
            <w:pPr>
              <w:pStyle w:val="6"/>
              <w:spacing w:before="289" w:line="220" w:lineRule="auto"/>
              <w:ind w:left="198"/>
            </w:pPr>
            <w:r>
              <w:rPr>
                <w:spacing w:val="-3"/>
              </w:rPr>
              <w:t>高分子防水</w:t>
            </w:r>
          </w:p>
          <w:p w14:paraId="1450D3AE">
            <w:pPr>
              <w:pStyle w:val="6"/>
              <w:spacing w:before="110" w:line="219" w:lineRule="auto"/>
              <w:ind w:left="508"/>
            </w:pPr>
            <w:r>
              <w:rPr>
                <w:spacing w:val="-3"/>
              </w:rPr>
              <w:t>卷材</w:t>
            </w:r>
          </w:p>
        </w:tc>
        <w:tc>
          <w:tcPr>
            <w:tcW w:w="1419" w:type="dxa"/>
            <w:vAlign w:val="top"/>
          </w:tcPr>
          <w:p w14:paraId="3FBFA9F7">
            <w:pPr>
              <w:spacing w:line="399" w:lineRule="auto"/>
              <w:rPr>
                <w:rFonts w:ascii="Arial"/>
                <w:sz w:val="21"/>
              </w:rPr>
            </w:pPr>
          </w:p>
          <w:p w14:paraId="4DF02025">
            <w:pPr>
              <w:pStyle w:val="6"/>
              <w:spacing w:before="68" w:line="236" w:lineRule="auto"/>
              <w:ind w:left="523"/>
              <w:rPr>
                <w:rFonts w:ascii="Times New Roman" w:hAnsi="Times New Roman" w:eastAsia="Times New Roman" w:cs="Times New Roman"/>
              </w:rPr>
            </w:pPr>
            <w:r>
              <w:rPr>
                <w:spacing w:val="-10"/>
              </w:rPr>
              <w:t>≥</w:t>
            </w:r>
            <w:r>
              <w:rPr>
                <w:rFonts w:ascii="Times New Roman" w:hAnsi="Times New Roman" w:eastAsia="Times New Roman" w:cs="Times New Roman"/>
                <w:spacing w:val="-10"/>
              </w:rPr>
              <w:t>80</w:t>
            </w:r>
          </w:p>
        </w:tc>
        <w:tc>
          <w:tcPr>
            <w:tcW w:w="1418" w:type="dxa"/>
            <w:vAlign w:val="top"/>
          </w:tcPr>
          <w:p w14:paraId="7A0B3078">
            <w:pPr>
              <w:pStyle w:val="6"/>
              <w:spacing w:before="109" w:line="236" w:lineRule="auto"/>
              <w:ind w:left="525"/>
              <w:rPr>
                <w:rFonts w:ascii="Times New Roman" w:hAnsi="Times New Roman" w:eastAsia="Times New Roman" w:cs="Times New Roman"/>
              </w:rPr>
            </w:pPr>
            <w:r>
              <w:rPr>
                <w:spacing w:val="-10"/>
              </w:rPr>
              <w:t>≥</w:t>
            </w:r>
            <w:r>
              <w:rPr>
                <w:rFonts w:ascii="Times New Roman" w:hAnsi="Times New Roman" w:eastAsia="Times New Roman" w:cs="Times New Roman"/>
                <w:spacing w:val="-10"/>
              </w:rPr>
              <w:t>80</w:t>
            </w:r>
          </w:p>
          <w:p w14:paraId="0314FA25">
            <w:pPr>
              <w:pStyle w:val="6"/>
              <w:spacing w:before="90" w:line="220" w:lineRule="auto"/>
              <w:ind w:left="190"/>
            </w:pPr>
            <w:r>
              <w:rPr>
                <w:spacing w:val="-2"/>
              </w:rPr>
              <w:t>且有效焊缝</w:t>
            </w:r>
          </w:p>
          <w:p w14:paraId="154CC140">
            <w:pPr>
              <w:pStyle w:val="6"/>
              <w:spacing w:before="110" w:line="214" w:lineRule="auto"/>
              <w:ind w:left="305"/>
              <w:rPr>
                <w:rFonts w:ascii="Times New Roman" w:hAnsi="Times New Roman" w:eastAsia="Times New Roman" w:cs="Times New Roman"/>
              </w:rPr>
            </w:pPr>
            <w:r>
              <w:rPr>
                <w:spacing w:val="-4"/>
              </w:rPr>
              <w:t>宽度≥</w:t>
            </w:r>
            <w:r>
              <w:rPr>
                <w:rFonts w:ascii="Times New Roman" w:hAnsi="Times New Roman" w:eastAsia="Times New Roman" w:cs="Times New Roman"/>
                <w:spacing w:val="-4"/>
              </w:rPr>
              <w:t>25</w:t>
            </w:r>
          </w:p>
        </w:tc>
        <w:tc>
          <w:tcPr>
            <w:tcW w:w="1420" w:type="dxa"/>
            <w:vAlign w:val="top"/>
          </w:tcPr>
          <w:p w14:paraId="7C0BDB15">
            <w:pPr>
              <w:pStyle w:val="6"/>
              <w:spacing w:before="109" w:line="236" w:lineRule="auto"/>
              <w:ind w:left="475"/>
              <w:rPr>
                <w:rFonts w:ascii="Times New Roman" w:hAnsi="Times New Roman" w:eastAsia="Times New Roman" w:cs="Times New Roman"/>
              </w:rPr>
            </w:pPr>
            <w:r>
              <w:rPr>
                <w:spacing w:val="-8"/>
              </w:rPr>
              <w:t>≥</w:t>
            </w:r>
            <w:r>
              <w:rPr>
                <w:rFonts w:ascii="Times New Roman" w:hAnsi="Times New Roman" w:eastAsia="Times New Roman" w:cs="Times New Roman"/>
                <w:spacing w:val="-8"/>
              </w:rPr>
              <w:t>120</w:t>
            </w:r>
          </w:p>
          <w:p w14:paraId="70C5E508">
            <w:pPr>
              <w:pStyle w:val="6"/>
              <w:spacing w:before="90" w:line="220" w:lineRule="auto"/>
              <w:ind w:left="191"/>
            </w:pPr>
            <w:r>
              <w:rPr>
                <w:spacing w:val="-2"/>
              </w:rPr>
              <w:t>且有效焊缝</w:t>
            </w:r>
          </w:p>
          <w:p w14:paraId="0883AD15">
            <w:pPr>
              <w:pStyle w:val="6"/>
              <w:spacing w:before="110" w:line="214" w:lineRule="auto"/>
              <w:ind w:left="306"/>
              <w:rPr>
                <w:rFonts w:ascii="Times New Roman" w:hAnsi="Times New Roman" w:eastAsia="Times New Roman" w:cs="Times New Roman"/>
              </w:rPr>
            </w:pPr>
            <w:r>
              <w:rPr>
                <w:spacing w:val="-4"/>
              </w:rPr>
              <w:t>宽度≥</w:t>
            </w:r>
            <w:r>
              <w:rPr>
                <w:rFonts w:ascii="Times New Roman" w:hAnsi="Times New Roman" w:eastAsia="Times New Roman" w:cs="Times New Roman"/>
                <w:spacing w:val="-4"/>
              </w:rPr>
              <w:t>25</w:t>
            </w:r>
          </w:p>
        </w:tc>
        <w:tc>
          <w:tcPr>
            <w:tcW w:w="1420" w:type="dxa"/>
            <w:vAlign w:val="top"/>
          </w:tcPr>
          <w:p w14:paraId="225C031B">
            <w:pPr>
              <w:pStyle w:val="6"/>
              <w:spacing w:before="109" w:line="236" w:lineRule="auto"/>
              <w:ind w:left="474"/>
              <w:rPr>
                <w:rFonts w:ascii="Times New Roman" w:hAnsi="Times New Roman" w:eastAsia="Times New Roman" w:cs="Times New Roman"/>
              </w:rPr>
            </w:pPr>
            <w:r>
              <w:rPr>
                <w:spacing w:val="-8"/>
              </w:rPr>
              <w:t>≥</w:t>
            </w:r>
            <w:r>
              <w:rPr>
                <w:rFonts w:ascii="Times New Roman" w:hAnsi="Times New Roman" w:eastAsia="Times New Roman" w:cs="Times New Roman"/>
                <w:spacing w:val="-8"/>
              </w:rPr>
              <w:t>120</w:t>
            </w:r>
          </w:p>
          <w:p w14:paraId="308794F3">
            <w:pPr>
              <w:pStyle w:val="6"/>
              <w:spacing w:before="90" w:line="220" w:lineRule="auto"/>
              <w:ind w:left="191"/>
            </w:pPr>
            <w:r>
              <w:rPr>
                <w:spacing w:val="-2"/>
              </w:rPr>
              <w:t>且有效粘结</w:t>
            </w:r>
          </w:p>
          <w:p w14:paraId="3CDA4911">
            <w:pPr>
              <w:pStyle w:val="6"/>
              <w:spacing w:before="110" w:line="214" w:lineRule="auto"/>
              <w:ind w:left="307"/>
              <w:rPr>
                <w:rFonts w:ascii="Times New Roman" w:hAnsi="Times New Roman" w:eastAsia="Times New Roman" w:cs="Times New Roman"/>
              </w:rPr>
            </w:pPr>
            <w:r>
              <w:rPr>
                <w:spacing w:val="-4"/>
              </w:rPr>
              <w:t>宽度≥</w:t>
            </w:r>
            <w:r>
              <w:rPr>
                <w:rFonts w:ascii="Times New Roman" w:hAnsi="Times New Roman" w:eastAsia="Times New Roman" w:cs="Times New Roman"/>
                <w:spacing w:val="-4"/>
              </w:rPr>
              <w:t>75</w:t>
            </w:r>
          </w:p>
        </w:tc>
        <w:tc>
          <w:tcPr>
            <w:tcW w:w="1425" w:type="dxa"/>
            <w:vAlign w:val="top"/>
          </w:tcPr>
          <w:p w14:paraId="467D5F26">
            <w:pPr>
              <w:pStyle w:val="6"/>
              <w:spacing w:before="109" w:line="236" w:lineRule="auto"/>
              <w:ind w:left="476"/>
              <w:rPr>
                <w:rFonts w:ascii="Times New Roman" w:hAnsi="Times New Roman" w:eastAsia="Times New Roman" w:cs="Times New Roman"/>
              </w:rPr>
            </w:pPr>
            <w:r>
              <w:rPr>
                <w:spacing w:val="-8"/>
              </w:rPr>
              <w:t>≥</w:t>
            </w:r>
            <w:r>
              <w:rPr>
                <w:rFonts w:ascii="Times New Roman" w:hAnsi="Times New Roman" w:eastAsia="Times New Roman" w:cs="Times New Roman"/>
                <w:spacing w:val="-8"/>
              </w:rPr>
              <w:t>200</w:t>
            </w:r>
          </w:p>
          <w:p w14:paraId="7BCD2FFC">
            <w:pPr>
              <w:pStyle w:val="6"/>
              <w:spacing w:before="91" w:line="265" w:lineRule="auto"/>
              <w:ind w:left="256" w:right="184" w:hanging="63"/>
              <w:rPr>
                <w:rFonts w:ascii="Times New Roman" w:hAnsi="Times New Roman" w:eastAsia="Times New Roman" w:cs="Times New Roman"/>
              </w:rPr>
            </w:pPr>
            <w:r>
              <w:rPr>
                <w:spacing w:val="-2"/>
              </w:rPr>
              <w:t>且有效粘结</w:t>
            </w:r>
            <w:r>
              <w:t xml:space="preserve"> </w:t>
            </w:r>
            <w:r>
              <w:rPr>
                <w:spacing w:val="-4"/>
              </w:rPr>
              <w:t>宽度≥</w:t>
            </w:r>
            <w:r>
              <w:rPr>
                <w:rFonts w:ascii="Times New Roman" w:hAnsi="Times New Roman" w:eastAsia="Times New Roman" w:cs="Times New Roman"/>
                <w:spacing w:val="-4"/>
              </w:rPr>
              <w:t>150</w:t>
            </w:r>
          </w:p>
        </w:tc>
      </w:tr>
      <w:tr w14:paraId="7A88B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424" w:type="dxa"/>
            <w:vAlign w:val="top"/>
          </w:tcPr>
          <w:p w14:paraId="1E424739">
            <w:pPr>
              <w:pStyle w:val="6"/>
              <w:spacing w:before="112" w:line="219" w:lineRule="auto"/>
              <w:ind w:left="196"/>
            </w:pPr>
            <w:r>
              <w:rPr>
                <w:spacing w:val="-2"/>
              </w:rPr>
              <w:t>弹性体、塑</w:t>
            </w:r>
          </w:p>
          <w:p w14:paraId="5B7C5E18">
            <w:pPr>
              <w:pStyle w:val="6"/>
              <w:spacing w:before="110" w:line="220" w:lineRule="auto"/>
              <w:ind w:left="195"/>
            </w:pPr>
            <w:r>
              <w:rPr>
                <w:spacing w:val="-2"/>
              </w:rPr>
              <w:t>性体改性沥</w:t>
            </w:r>
          </w:p>
          <w:p w14:paraId="76CEC4BF">
            <w:pPr>
              <w:pStyle w:val="6"/>
              <w:spacing w:before="109" w:line="217" w:lineRule="auto"/>
              <w:ind w:left="192"/>
            </w:pPr>
            <w:r>
              <w:rPr>
                <w:spacing w:val="-2"/>
              </w:rPr>
              <w:t>青防水卷材</w:t>
            </w:r>
          </w:p>
        </w:tc>
        <w:tc>
          <w:tcPr>
            <w:tcW w:w="1419" w:type="dxa"/>
            <w:vAlign w:val="top"/>
          </w:tcPr>
          <w:p w14:paraId="05D98C37">
            <w:pPr>
              <w:spacing w:line="401" w:lineRule="auto"/>
              <w:rPr>
                <w:rFonts w:ascii="Arial"/>
                <w:sz w:val="21"/>
              </w:rPr>
            </w:pPr>
          </w:p>
          <w:p w14:paraId="16665CCD">
            <w:pPr>
              <w:pStyle w:val="6"/>
              <w:spacing w:before="69" w:line="236" w:lineRule="auto"/>
              <w:ind w:left="471"/>
              <w:rPr>
                <w:rFonts w:ascii="Times New Roman" w:hAnsi="Times New Roman" w:eastAsia="Times New Roman" w:cs="Times New Roman"/>
              </w:rPr>
            </w:pPr>
            <w:r>
              <w:rPr>
                <w:spacing w:val="-8"/>
              </w:rPr>
              <w:t>≥</w:t>
            </w:r>
            <w:r>
              <w:rPr>
                <w:rFonts w:ascii="Times New Roman" w:hAnsi="Times New Roman" w:eastAsia="Times New Roman" w:cs="Times New Roman"/>
                <w:spacing w:val="-8"/>
              </w:rPr>
              <w:t>100</w:t>
            </w:r>
          </w:p>
        </w:tc>
        <w:tc>
          <w:tcPr>
            <w:tcW w:w="1418" w:type="dxa"/>
            <w:vAlign w:val="top"/>
          </w:tcPr>
          <w:p w14:paraId="350FFD01">
            <w:pPr>
              <w:pStyle w:val="6"/>
              <w:spacing w:before="112" w:line="236" w:lineRule="auto"/>
              <w:ind w:left="525"/>
              <w:rPr>
                <w:rFonts w:ascii="Times New Roman" w:hAnsi="Times New Roman" w:eastAsia="Times New Roman" w:cs="Times New Roman"/>
              </w:rPr>
            </w:pPr>
            <w:r>
              <w:rPr>
                <w:spacing w:val="-10"/>
              </w:rPr>
              <w:t>≥</w:t>
            </w:r>
            <w:r>
              <w:rPr>
                <w:rFonts w:ascii="Times New Roman" w:hAnsi="Times New Roman" w:eastAsia="Times New Roman" w:cs="Times New Roman"/>
                <w:spacing w:val="-10"/>
              </w:rPr>
              <w:t>80</w:t>
            </w:r>
          </w:p>
          <w:p w14:paraId="471F3443">
            <w:pPr>
              <w:pStyle w:val="6"/>
              <w:spacing w:before="90" w:line="220" w:lineRule="auto"/>
              <w:ind w:left="190"/>
            </w:pPr>
            <w:r>
              <w:rPr>
                <w:spacing w:val="-2"/>
              </w:rPr>
              <w:t>且有效焊缝</w:t>
            </w:r>
          </w:p>
          <w:p w14:paraId="46C0A1D5">
            <w:pPr>
              <w:pStyle w:val="6"/>
              <w:spacing w:before="109" w:line="217" w:lineRule="auto"/>
              <w:ind w:left="305"/>
              <w:rPr>
                <w:rFonts w:ascii="Times New Roman" w:hAnsi="Times New Roman" w:eastAsia="Times New Roman" w:cs="Times New Roman"/>
              </w:rPr>
            </w:pPr>
            <w:r>
              <w:rPr>
                <w:spacing w:val="-4"/>
              </w:rPr>
              <w:t>宽度≥</w:t>
            </w:r>
            <w:r>
              <w:rPr>
                <w:rFonts w:ascii="Times New Roman" w:hAnsi="Times New Roman" w:eastAsia="Times New Roman" w:cs="Times New Roman"/>
                <w:spacing w:val="-4"/>
              </w:rPr>
              <w:t>40</w:t>
            </w:r>
          </w:p>
        </w:tc>
        <w:tc>
          <w:tcPr>
            <w:tcW w:w="1420" w:type="dxa"/>
            <w:vAlign w:val="top"/>
          </w:tcPr>
          <w:p w14:paraId="01B29C82">
            <w:pPr>
              <w:pStyle w:val="6"/>
              <w:spacing w:before="112" w:line="236" w:lineRule="auto"/>
              <w:ind w:left="475"/>
              <w:rPr>
                <w:rFonts w:ascii="Times New Roman" w:hAnsi="Times New Roman" w:eastAsia="Times New Roman" w:cs="Times New Roman"/>
              </w:rPr>
            </w:pPr>
            <w:r>
              <w:rPr>
                <w:spacing w:val="-8"/>
              </w:rPr>
              <w:t>≥</w:t>
            </w:r>
            <w:r>
              <w:rPr>
                <w:rFonts w:ascii="Times New Roman" w:hAnsi="Times New Roman" w:eastAsia="Times New Roman" w:cs="Times New Roman"/>
                <w:spacing w:val="-8"/>
              </w:rPr>
              <w:t>120</w:t>
            </w:r>
          </w:p>
          <w:p w14:paraId="5F030F49">
            <w:pPr>
              <w:pStyle w:val="6"/>
              <w:spacing w:before="90" w:line="220" w:lineRule="auto"/>
              <w:ind w:left="191"/>
            </w:pPr>
            <w:r>
              <w:rPr>
                <w:spacing w:val="-2"/>
              </w:rPr>
              <w:t>且有效焊缝</w:t>
            </w:r>
          </w:p>
          <w:p w14:paraId="27121557">
            <w:pPr>
              <w:pStyle w:val="6"/>
              <w:spacing w:before="109" w:line="217" w:lineRule="auto"/>
              <w:ind w:left="306"/>
              <w:rPr>
                <w:rFonts w:ascii="Times New Roman" w:hAnsi="Times New Roman" w:eastAsia="Times New Roman" w:cs="Times New Roman"/>
              </w:rPr>
            </w:pPr>
            <w:r>
              <w:rPr>
                <w:spacing w:val="-4"/>
              </w:rPr>
              <w:t>宽度≥</w:t>
            </w:r>
            <w:r>
              <w:rPr>
                <w:rFonts w:ascii="Times New Roman" w:hAnsi="Times New Roman" w:eastAsia="Times New Roman" w:cs="Times New Roman"/>
                <w:spacing w:val="-4"/>
              </w:rPr>
              <w:t>40</w:t>
            </w:r>
          </w:p>
        </w:tc>
        <w:tc>
          <w:tcPr>
            <w:tcW w:w="2845" w:type="dxa"/>
            <w:gridSpan w:val="2"/>
            <w:vAlign w:val="top"/>
          </w:tcPr>
          <w:p w14:paraId="5F3C5B45">
            <w:pPr>
              <w:spacing w:line="317" w:lineRule="auto"/>
              <w:rPr>
                <w:rFonts w:ascii="Arial"/>
                <w:sz w:val="21"/>
              </w:rPr>
            </w:pPr>
          </w:p>
          <w:p w14:paraId="7E90F0FD">
            <w:pPr>
              <w:tabs>
                <w:tab w:val="left" w:pos="1523"/>
              </w:tabs>
              <w:spacing w:before="60"/>
              <w:ind w:left="1320"/>
              <w:rPr>
                <w:rFonts w:ascii="Arial"/>
                <w:sz w:val="21"/>
              </w:rPr>
            </w:pPr>
            <w:r>
              <w:rPr>
                <w:rFonts w:ascii="Arial" w:hAnsi="Arial" w:eastAsia="Arial" w:cs="Arial"/>
                <w:sz w:val="21"/>
                <w:szCs w:val="21"/>
                <w:u w:val="single" w:color="auto"/>
              </w:rPr>
              <w:tab/>
            </w:r>
          </w:p>
        </w:tc>
      </w:tr>
    </w:tbl>
    <w:p w14:paraId="02236EC5">
      <w:pPr>
        <w:pStyle w:val="2"/>
      </w:pPr>
    </w:p>
    <w:p w14:paraId="299E9F31">
      <w:pPr>
        <w:sectPr>
          <w:footerReference r:id="rId42" w:type="default"/>
          <w:pgSz w:w="11907" w:h="16839"/>
          <w:pgMar w:top="400" w:right="1687" w:bottom="743" w:left="1445" w:header="0" w:footer="582" w:gutter="0"/>
          <w:cols w:space="720" w:num="1"/>
        </w:sectPr>
      </w:pPr>
    </w:p>
    <w:p w14:paraId="7F20B1D4">
      <w:pPr>
        <w:pStyle w:val="2"/>
        <w:spacing w:line="309" w:lineRule="auto"/>
      </w:pPr>
    </w:p>
    <w:p w14:paraId="3AD6AA0B">
      <w:pPr>
        <w:pStyle w:val="2"/>
        <w:spacing w:line="309" w:lineRule="auto"/>
      </w:pPr>
    </w:p>
    <w:p w14:paraId="057A051B">
      <w:pPr>
        <w:pStyle w:val="2"/>
        <w:spacing w:line="309" w:lineRule="auto"/>
      </w:pPr>
    </w:p>
    <w:p w14:paraId="29E682DB">
      <w:pPr>
        <w:spacing w:before="88" w:line="226" w:lineRule="auto"/>
        <w:ind w:left="33"/>
        <w:outlineLvl w:val="0"/>
        <w:rPr>
          <w:rFonts w:ascii="宋体" w:hAnsi="宋体" w:eastAsia="宋体" w:cs="宋体"/>
          <w:sz w:val="27"/>
          <w:szCs w:val="27"/>
        </w:rPr>
      </w:pPr>
      <w:bookmarkStart w:id="54" w:name="bookmark101"/>
      <w:bookmarkEnd w:id="54"/>
      <w:r>
        <w:rPr>
          <w:rFonts w:ascii="宋体" w:hAnsi="宋体" w:eastAsia="宋体" w:cs="宋体"/>
          <w:b/>
          <w:bCs/>
          <w:spacing w:val="1"/>
          <w:sz w:val="27"/>
          <w:szCs w:val="27"/>
        </w:rPr>
        <w:t>四、装饰装修</w:t>
      </w:r>
    </w:p>
    <w:p w14:paraId="32A90BF1">
      <w:pPr>
        <w:spacing w:before="313" w:line="226" w:lineRule="auto"/>
        <w:ind w:left="14"/>
        <w:outlineLvl w:val="1"/>
        <w:rPr>
          <w:rFonts w:ascii="宋体" w:hAnsi="宋体" w:eastAsia="宋体" w:cs="宋体"/>
          <w:sz w:val="27"/>
          <w:szCs w:val="27"/>
        </w:rPr>
      </w:pPr>
      <w:bookmarkStart w:id="55" w:name="bookmark102"/>
      <w:bookmarkEnd w:id="55"/>
      <w:r>
        <w:rPr>
          <w:rFonts w:ascii="Times New Roman" w:hAnsi="Times New Roman" w:eastAsia="Times New Roman" w:cs="Times New Roman"/>
          <w:b/>
          <w:bCs/>
          <w:spacing w:val="6"/>
          <w:sz w:val="27"/>
          <w:szCs w:val="27"/>
        </w:rPr>
        <w:t>1.</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50209-2010  </w:t>
      </w:r>
      <w:r>
        <w:rPr>
          <w:rFonts w:ascii="宋体" w:hAnsi="宋体" w:eastAsia="宋体" w:cs="宋体"/>
          <w:b/>
          <w:bCs/>
          <w:spacing w:val="6"/>
          <w:sz w:val="27"/>
          <w:szCs w:val="27"/>
        </w:rPr>
        <w:t>建筑地面工程施工质量验收规范</w:t>
      </w:r>
    </w:p>
    <w:p w14:paraId="44873C3F">
      <w:pPr>
        <w:spacing w:before="287" w:line="338" w:lineRule="auto"/>
        <w:ind w:left="7" w:right="120" w:hanging="1"/>
        <w:rPr>
          <w:rFonts w:ascii="宋体" w:hAnsi="宋体" w:eastAsia="宋体" w:cs="宋体"/>
          <w:sz w:val="24"/>
          <w:szCs w:val="24"/>
        </w:rPr>
      </w:pPr>
      <w:r>
        <w:rPr>
          <w:rFonts w:ascii="Times New Roman" w:hAnsi="Times New Roman" w:eastAsia="Times New Roman" w:cs="Times New Roman"/>
          <w:sz w:val="24"/>
          <w:szCs w:val="24"/>
        </w:rPr>
        <w:t xml:space="preserve">3.0.3    </w:t>
      </w:r>
      <w:r>
        <w:rPr>
          <w:rFonts w:ascii="宋体" w:hAnsi="宋体" w:eastAsia="宋体" w:cs="宋体"/>
          <w:sz w:val="24"/>
          <w:szCs w:val="24"/>
        </w:rPr>
        <w:t>建筑地面工程采用的材料或产品应符合设计要求和国</w:t>
      </w:r>
      <w:r>
        <w:rPr>
          <w:rFonts w:ascii="宋体" w:hAnsi="宋体" w:eastAsia="宋体" w:cs="宋体"/>
          <w:spacing w:val="-1"/>
          <w:sz w:val="24"/>
          <w:szCs w:val="24"/>
        </w:rPr>
        <w:t>家现行有关标准的规定。</w:t>
      </w:r>
      <w:r>
        <w:rPr>
          <w:rFonts w:ascii="宋体" w:hAnsi="宋体" w:eastAsia="宋体" w:cs="宋体"/>
          <w:sz w:val="24"/>
          <w:szCs w:val="24"/>
        </w:rPr>
        <w:t xml:space="preserve"> 无国家现行标准的，应具有省级住房和城乡建设行政主</w:t>
      </w:r>
      <w:r>
        <w:rPr>
          <w:rFonts w:ascii="宋体" w:hAnsi="宋体" w:eastAsia="宋体" w:cs="宋体"/>
          <w:spacing w:val="-1"/>
          <w:sz w:val="24"/>
          <w:szCs w:val="24"/>
        </w:rPr>
        <w:t>管部门的技术认可文件。材料</w:t>
      </w:r>
      <w:r>
        <w:rPr>
          <w:rFonts w:ascii="宋体" w:hAnsi="宋体" w:eastAsia="宋体" w:cs="宋体"/>
          <w:sz w:val="24"/>
          <w:szCs w:val="24"/>
        </w:rPr>
        <w:t xml:space="preserve"> </w:t>
      </w:r>
      <w:r>
        <w:rPr>
          <w:rFonts w:ascii="宋体" w:hAnsi="宋体" w:eastAsia="宋体" w:cs="宋体"/>
          <w:spacing w:val="-5"/>
          <w:sz w:val="24"/>
          <w:szCs w:val="24"/>
        </w:rPr>
        <w:t>或产品进场时还应符合下列规定：</w:t>
      </w:r>
    </w:p>
    <w:p w14:paraId="32A6C123">
      <w:pPr>
        <w:spacing w:line="219" w:lineRule="auto"/>
        <w:ind w:left="503"/>
        <w:rPr>
          <w:rFonts w:ascii="宋体" w:hAnsi="宋体" w:eastAsia="宋体" w:cs="宋体"/>
          <w:sz w:val="24"/>
          <w:szCs w:val="24"/>
        </w:rPr>
      </w:pPr>
      <w:r>
        <w:rPr>
          <w:rFonts w:ascii="宋体" w:hAnsi="宋体" w:eastAsia="宋体" w:cs="宋体"/>
          <w:spacing w:val="-6"/>
          <w:sz w:val="24"/>
          <w:szCs w:val="24"/>
        </w:rPr>
        <w:t>1 应有质量合格证明文件；</w:t>
      </w:r>
    </w:p>
    <w:p w14:paraId="6D25D5B0">
      <w:pPr>
        <w:spacing w:before="154" w:line="219" w:lineRule="auto"/>
        <w:ind w:left="488"/>
        <w:rPr>
          <w:rFonts w:ascii="宋体" w:hAnsi="宋体" w:eastAsia="宋体" w:cs="宋体"/>
          <w:sz w:val="24"/>
          <w:szCs w:val="24"/>
        </w:rPr>
      </w:pPr>
      <w:r>
        <w:rPr>
          <w:rFonts w:ascii="宋体" w:hAnsi="宋体" w:eastAsia="宋体" w:cs="宋体"/>
          <w:spacing w:val="-1"/>
          <w:sz w:val="24"/>
          <w:szCs w:val="24"/>
        </w:rPr>
        <w:t>2 应对型号、规格、外观等进行验收，对重要</w:t>
      </w:r>
      <w:r>
        <w:rPr>
          <w:rFonts w:ascii="宋体" w:hAnsi="宋体" w:eastAsia="宋体" w:cs="宋体"/>
          <w:spacing w:val="-2"/>
          <w:sz w:val="24"/>
          <w:szCs w:val="24"/>
        </w:rPr>
        <w:t>材料或产品应抽样进行复验。</w:t>
      </w:r>
    </w:p>
    <w:p w14:paraId="609D2183">
      <w:pPr>
        <w:spacing w:before="154"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3.0.5    </w:t>
      </w:r>
      <w:r>
        <w:rPr>
          <w:rFonts w:ascii="宋体" w:hAnsi="宋体" w:eastAsia="宋体" w:cs="宋体"/>
          <w:spacing w:val="-1"/>
          <w:sz w:val="24"/>
          <w:szCs w:val="24"/>
        </w:rPr>
        <w:t>厕浴间和有防滑要求的建筑地</w:t>
      </w:r>
      <w:r>
        <w:rPr>
          <w:rFonts w:ascii="宋体" w:hAnsi="宋体" w:eastAsia="宋体" w:cs="宋体"/>
          <w:spacing w:val="-2"/>
          <w:sz w:val="24"/>
          <w:szCs w:val="24"/>
        </w:rPr>
        <w:t>面应符合设计防滑要求。</w:t>
      </w:r>
    </w:p>
    <w:p w14:paraId="54148CC9">
      <w:pPr>
        <w:spacing w:before="156" w:line="279" w:lineRule="auto"/>
        <w:ind w:left="24" w:hanging="19"/>
        <w:rPr>
          <w:rFonts w:ascii="宋体" w:hAnsi="宋体" w:eastAsia="宋体" w:cs="宋体"/>
          <w:sz w:val="24"/>
          <w:szCs w:val="24"/>
        </w:rPr>
      </w:pPr>
      <w:r>
        <w:rPr>
          <w:rFonts w:ascii="Times New Roman" w:hAnsi="Times New Roman" w:eastAsia="Times New Roman" w:cs="Times New Roman"/>
          <w:sz w:val="24"/>
          <w:szCs w:val="24"/>
        </w:rPr>
        <w:t xml:space="preserve">3.0.18    </w:t>
      </w:r>
      <w:r>
        <w:rPr>
          <w:rFonts w:ascii="宋体" w:hAnsi="宋体" w:eastAsia="宋体" w:cs="宋体"/>
          <w:sz w:val="24"/>
          <w:szCs w:val="24"/>
        </w:rPr>
        <w:t>厕浴间、厨房和有排水（或其他液体）要求的建筑地</w:t>
      </w:r>
      <w:r>
        <w:rPr>
          <w:rFonts w:ascii="宋体" w:hAnsi="宋体" w:eastAsia="宋体" w:cs="宋体"/>
          <w:spacing w:val="-1"/>
          <w:sz w:val="24"/>
          <w:szCs w:val="24"/>
        </w:rPr>
        <w:t>面面层与相连接各类面层</w:t>
      </w:r>
      <w:r>
        <w:rPr>
          <w:rFonts w:ascii="宋体" w:hAnsi="宋体" w:eastAsia="宋体" w:cs="宋体"/>
          <w:sz w:val="24"/>
          <w:szCs w:val="24"/>
        </w:rPr>
        <w:t xml:space="preserve"> </w:t>
      </w:r>
      <w:r>
        <w:rPr>
          <w:rFonts w:ascii="宋体" w:hAnsi="宋体" w:eastAsia="宋体" w:cs="宋体"/>
          <w:spacing w:val="-5"/>
          <w:sz w:val="24"/>
          <w:szCs w:val="24"/>
        </w:rPr>
        <w:t>的标高差应符合设计要求。</w:t>
      </w:r>
    </w:p>
    <w:p w14:paraId="55E8D918">
      <w:pPr>
        <w:spacing w:before="154" w:line="279" w:lineRule="auto"/>
        <w:ind w:left="3" w:right="120" w:hanging="3"/>
        <w:rPr>
          <w:rFonts w:ascii="宋体" w:hAnsi="宋体" w:eastAsia="宋体" w:cs="宋体"/>
          <w:sz w:val="24"/>
          <w:szCs w:val="24"/>
        </w:rPr>
      </w:pPr>
      <w:r>
        <w:rPr>
          <w:rFonts w:ascii="Times New Roman" w:hAnsi="Times New Roman" w:eastAsia="Times New Roman" w:cs="Times New Roman"/>
          <w:sz w:val="24"/>
          <w:szCs w:val="24"/>
        </w:rPr>
        <w:t xml:space="preserve">4.9.3    </w:t>
      </w:r>
      <w:r>
        <w:rPr>
          <w:rFonts w:ascii="宋体" w:hAnsi="宋体" w:eastAsia="宋体" w:cs="宋体"/>
          <w:sz w:val="24"/>
          <w:szCs w:val="24"/>
        </w:rPr>
        <w:t>有防水要求的建筑地面工程，铺设前必须就立管、套管和地漏与楼</w:t>
      </w:r>
      <w:r>
        <w:rPr>
          <w:rFonts w:ascii="宋体" w:hAnsi="宋体" w:eastAsia="宋体" w:cs="宋体"/>
          <w:spacing w:val="-1"/>
          <w:sz w:val="24"/>
          <w:szCs w:val="24"/>
        </w:rPr>
        <w:t>板节点之间</w:t>
      </w:r>
      <w:r>
        <w:rPr>
          <w:rFonts w:ascii="宋体" w:hAnsi="宋体" w:eastAsia="宋体" w:cs="宋体"/>
          <w:sz w:val="24"/>
          <w:szCs w:val="24"/>
        </w:rPr>
        <w:t xml:space="preserve"> </w:t>
      </w:r>
      <w:r>
        <w:rPr>
          <w:rFonts w:ascii="宋体" w:hAnsi="宋体" w:eastAsia="宋体" w:cs="宋体"/>
          <w:spacing w:val="-2"/>
          <w:sz w:val="24"/>
          <w:szCs w:val="24"/>
        </w:rPr>
        <w:t>进行密封处理，并进行隐蔽验收；排水坡度应符合设计要求。</w:t>
      </w:r>
    </w:p>
    <w:p w14:paraId="0230BD67">
      <w:pPr>
        <w:spacing w:before="153" w:line="309" w:lineRule="auto"/>
        <w:ind w:left="4" w:right="128" w:hanging="4"/>
        <w:rPr>
          <w:rFonts w:ascii="宋体" w:hAnsi="宋体" w:eastAsia="宋体" w:cs="宋体"/>
          <w:sz w:val="24"/>
          <w:szCs w:val="24"/>
        </w:rPr>
      </w:pPr>
      <w:r>
        <w:rPr>
          <w:rFonts w:ascii="Times New Roman" w:hAnsi="Times New Roman" w:eastAsia="Times New Roman" w:cs="Times New Roman"/>
          <w:sz w:val="24"/>
          <w:szCs w:val="24"/>
        </w:rPr>
        <w:t xml:space="preserve">4.10.11    </w:t>
      </w:r>
      <w:r>
        <w:rPr>
          <w:rFonts w:ascii="宋体" w:hAnsi="宋体" w:eastAsia="宋体" w:cs="宋体"/>
          <w:sz w:val="24"/>
          <w:szCs w:val="24"/>
        </w:rPr>
        <w:t>厕浴间和有防水要求的建筑地面必须设置防</w:t>
      </w:r>
      <w:r>
        <w:rPr>
          <w:rFonts w:ascii="宋体" w:hAnsi="宋体" w:eastAsia="宋体" w:cs="宋体"/>
          <w:spacing w:val="-1"/>
          <w:sz w:val="24"/>
          <w:szCs w:val="24"/>
        </w:rPr>
        <w:t>水隔离层。楼层结构必须采用现</w:t>
      </w:r>
      <w:r>
        <w:rPr>
          <w:rFonts w:ascii="宋体" w:hAnsi="宋体" w:eastAsia="宋体" w:cs="宋体"/>
          <w:sz w:val="24"/>
          <w:szCs w:val="24"/>
        </w:rPr>
        <w:t xml:space="preserve"> </w:t>
      </w:r>
      <w:r>
        <w:rPr>
          <w:rFonts w:ascii="宋体" w:hAnsi="宋体" w:eastAsia="宋体" w:cs="宋体"/>
          <w:spacing w:val="-1"/>
          <w:sz w:val="24"/>
          <w:szCs w:val="24"/>
        </w:rPr>
        <w:t>浇混凝土或整块预制混凝土板，混凝土强度等级不应小于</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C20</w:t>
      </w:r>
      <w:r>
        <w:rPr>
          <w:rFonts w:ascii="宋体" w:hAnsi="宋体" w:eastAsia="宋体" w:cs="宋体"/>
          <w:spacing w:val="-1"/>
          <w:sz w:val="24"/>
          <w:szCs w:val="24"/>
        </w:rPr>
        <w:t>；房</w:t>
      </w:r>
      <w:r>
        <w:rPr>
          <w:rFonts w:ascii="宋体" w:hAnsi="宋体" w:eastAsia="宋体" w:cs="宋体"/>
          <w:spacing w:val="-2"/>
          <w:sz w:val="24"/>
          <w:szCs w:val="24"/>
        </w:rPr>
        <w:t>间的楼板四周除门</w:t>
      </w:r>
      <w:r>
        <w:rPr>
          <w:rFonts w:ascii="宋体" w:hAnsi="宋体" w:eastAsia="宋体" w:cs="宋体"/>
          <w:sz w:val="24"/>
          <w:szCs w:val="24"/>
        </w:rPr>
        <w:t xml:space="preserve"> </w:t>
      </w:r>
      <w:r>
        <w:rPr>
          <w:rFonts w:ascii="宋体" w:hAnsi="宋体" w:eastAsia="宋体" w:cs="宋体"/>
          <w:spacing w:val="-1"/>
          <w:sz w:val="24"/>
          <w:szCs w:val="24"/>
        </w:rPr>
        <w:t>洞外应做混凝土翻边，高度不应小于</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200mm</w:t>
      </w:r>
      <w:r>
        <w:rPr>
          <w:rFonts w:ascii="宋体" w:hAnsi="宋体" w:eastAsia="宋体" w:cs="宋体"/>
          <w:spacing w:val="-1"/>
          <w:sz w:val="24"/>
          <w:szCs w:val="24"/>
        </w:rPr>
        <w:t>，宽同墙厚，混凝土强度等级不应小于</w:t>
      </w:r>
      <w:r>
        <w:rPr>
          <w:rFonts w:ascii="宋体" w:hAnsi="宋体" w:eastAsia="宋体" w:cs="宋体"/>
          <w:sz w:val="24"/>
          <w:szCs w:val="24"/>
        </w:rPr>
        <w:t xml:space="preserve">  </w:t>
      </w:r>
      <w:r>
        <w:rPr>
          <w:rFonts w:ascii="Times New Roman" w:hAnsi="Times New Roman" w:eastAsia="Times New Roman" w:cs="Times New Roman"/>
          <w:spacing w:val="-2"/>
          <w:sz w:val="24"/>
          <w:szCs w:val="24"/>
        </w:rPr>
        <w:t>C20</w:t>
      </w:r>
      <w:r>
        <w:rPr>
          <w:rFonts w:ascii="宋体" w:hAnsi="宋体" w:eastAsia="宋体" w:cs="宋体"/>
          <w:spacing w:val="-2"/>
          <w:sz w:val="24"/>
          <w:szCs w:val="24"/>
        </w:rPr>
        <w:t>。施工时结构层标高和预留孔洞位置应准确，严禁乱凿洞。</w:t>
      </w:r>
    </w:p>
    <w:p w14:paraId="586DB711">
      <w:pPr>
        <w:spacing w:before="154"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4.10.13    </w:t>
      </w:r>
      <w:r>
        <w:rPr>
          <w:rFonts w:ascii="宋体" w:hAnsi="宋体" w:eastAsia="宋体" w:cs="宋体"/>
          <w:spacing w:val="-1"/>
          <w:sz w:val="24"/>
          <w:szCs w:val="24"/>
        </w:rPr>
        <w:t>防水隔离层严禁渗漏，排水的的坡向应正确、排水通</w:t>
      </w:r>
      <w:r>
        <w:rPr>
          <w:rFonts w:ascii="宋体" w:hAnsi="宋体" w:eastAsia="宋体" w:cs="宋体"/>
          <w:spacing w:val="-2"/>
          <w:sz w:val="24"/>
          <w:szCs w:val="24"/>
        </w:rPr>
        <w:t>畅。</w:t>
      </w:r>
    </w:p>
    <w:p w14:paraId="6E66A653">
      <w:pPr>
        <w:spacing w:before="155" w:line="218"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5.7.4    </w:t>
      </w:r>
      <w:r>
        <w:rPr>
          <w:rFonts w:ascii="宋体" w:hAnsi="宋体" w:eastAsia="宋体" w:cs="宋体"/>
          <w:spacing w:val="-1"/>
          <w:sz w:val="24"/>
          <w:szCs w:val="24"/>
        </w:rPr>
        <w:t>不发火（防爆）面层中碎石</w:t>
      </w:r>
      <w:r>
        <w:rPr>
          <w:rFonts w:ascii="宋体" w:hAnsi="宋体" w:eastAsia="宋体" w:cs="宋体"/>
          <w:spacing w:val="-2"/>
          <w:sz w:val="24"/>
          <w:szCs w:val="24"/>
        </w:rPr>
        <w:t>的不发火性必须合格；砂应质地坚硬、表面粗糙，</w:t>
      </w:r>
    </w:p>
    <w:p w14:paraId="7A38703A">
      <w:pPr>
        <w:spacing w:before="157" w:line="278" w:lineRule="auto"/>
        <w:ind w:left="4" w:right="3" w:firstLine="1"/>
        <w:rPr>
          <w:rFonts w:ascii="宋体" w:hAnsi="宋体" w:eastAsia="宋体" w:cs="宋体"/>
          <w:sz w:val="24"/>
          <w:szCs w:val="24"/>
        </w:rPr>
      </w:pPr>
      <w:r>
        <w:rPr>
          <w:rFonts w:ascii="宋体" w:hAnsi="宋体" w:eastAsia="宋体" w:cs="宋体"/>
          <w:spacing w:val="-1"/>
          <w:sz w:val="24"/>
          <w:szCs w:val="24"/>
        </w:rPr>
        <w:t>其粒径应为</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0.15mm</w:t>
      </w:r>
      <w:r>
        <w:rPr>
          <w:rFonts w:ascii="宋体" w:hAnsi="宋体" w:eastAsia="宋体" w:cs="宋体"/>
          <w:spacing w:val="-1"/>
          <w:sz w:val="24"/>
          <w:szCs w:val="24"/>
        </w:rPr>
        <w:t>～</w:t>
      </w:r>
      <w:r>
        <w:rPr>
          <w:rFonts w:ascii="Times New Roman" w:hAnsi="Times New Roman" w:eastAsia="Times New Roman" w:cs="Times New Roman"/>
          <w:spacing w:val="-1"/>
          <w:sz w:val="24"/>
          <w:szCs w:val="24"/>
        </w:rPr>
        <w:t>5mm</w:t>
      </w:r>
      <w:r>
        <w:rPr>
          <w:rFonts w:ascii="宋体" w:hAnsi="宋体" w:eastAsia="宋体" w:cs="宋体"/>
          <w:spacing w:val="-1"/>
          <w:sz w:val="24"/>
          <w:szCs w:val="24"/>
        </w:rPr>
        <w:t>，含泥量不应大于</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w:t>
      </w:r>
      <w:r>
        <w:rPr>
          <w:rFonts w:ascii="宋体" w:hAnsi="宋体" w:eastAsia="宋体" w:cs="宋体"/>
          <w:spacing w:val="-2"/>
          <w:sz w:val="24"/>
          <w:szCs w:val="24"/>
        </w:rPr>
        <w:t>，有机物含量不应大于</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0.5%</w:t>
      </w:r>
      <w:r>
        <w:rPr>
          <w:rFonts w:ascii="宋体" w:hAnsi="宋体" w:eastAsia="宋体" w:cs="宋体"/>
          <w:spacing w:val="-2"/>
          <w:sz w:val="24"/>
          <w:szCs w:val="24"/>
        </w:rPr>
        <w:t>；水泥应</w:t>
      </w:r>
      <w:r>
        <w:rPr>
          <w:rFonts w:ascii="宋体" w:hAnsi="宋体" w:eastAsia="宋体" w:cs="宋体"/>
          <w:sz w:val="24"/>
          <w:szCs w:val="24"/>
        </w:rPr>
        <w:t xml:space="preserve"> </w:t>
      </w:r>
      <w:r>
        <w:rPr>
          <w:rFonts w:ascii="宋体" w:hAnsi="宋体" w:eastAsia="宋体" w:cs="宋体"/>
          <w:spacing w:val="-1"/>
          <w:sz w:val="24"/>
          <w:szCs w:val="24"/>
        </w:rPr>
        <w:t>采用硅酸盐水泥、普通硅酸盐水泥；面层分格的嵌条应采用不发生火</w:t>
      </w:r>
      <w:r>
        <w:rPr>
          <w:rFonts w:ascii="宋体" w:hAnsi="宋体" w:eastAsia="宋体" w:cs="宋体"/>
          <w:spacing w:val="-2"/>
          <w:sz w:val="24"/>
          <w:szCs w:val="24"/>
        </w:rPr>
        <w:t>花的材料配制。</w:t>
      </w:r>
    </w:p>
    <w:p w14:paraId="2BF59B6A">
      <w:pPr>
        <w:spacing w:before="156" w:line="220" w:lineRule="auto"/>
        <w:ind w:left="5"/>
        <w:rPr>
          <w:rFonts w:ascii="宋体" w:hAnsi="宋体" w:eastAsia="宋体" w:cs="宋体"/>
          <w:sz w:val="24"/>
          <w:szCs w:val="24"/>
        </w:rPr>
      </w:pPr>
      <w:r>
        <w:rPr>
          <w:rFonts w:ascii="宋体" w:hAnsi="宋体" w:eastAsia="宋体" w:cs="宋体"/>
          <w:spacing w:val="-2"/>
          <w:sz w:val="24"/>
          <w:szCs w:val="24"/>
        </w:rPr>
        <w:t>配制时应随时检查，不得混入金属或其他易发生火花的杂质。</w:t>
      </w:r>
    </w:p>
    <w:p w14:paraId="0D381645">
      <w:pPr>
        <w:spacing w:before="201" w:line="226" w:lineRule="auto"/>
        <w:ind w:left="2"/>
        <w:outlineLvl w:val="1"/>
        <w:rPr>
          <w:rFonts w:ascii="宋体" w:hAnsi="宋体" w:eastAsia="宋体" w:cs="宋体"/>
          <w:sz w:val="27"/>
          <w:szCs w:val="27"/>
        </w:rPr>
      </w:pPr>
      <w:bookmarkStart w:id="56" w:name="bookmark103"/>
      <w:bookmarkEnd w:id="56"/>
      <w:r>
        <w:rPr>
          <w:rFonts w:ascii="Times New Roman" w:hAnsi="Times New Roman" w:eastAsia="Times New Roman" w:cs="Times New Roman"/>
          <w:b/>
          <w:bCs/>
          <w:spacing w:val="7"/>
          <w:sz w:val="27"/>
          <w:szCs w:val="27"/>
        </w:rPr>
        <w:t>2.</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7"/>
          <w:sz w:val="27"/>
          <w:szCs w:val="27"/>
        </w:rPr>
        <w:t xml:space="preserve">50210-2018  </w:t>
      </w:r>
      <w:r>
        <w:rPr>
          <w:rFonts w:ascii="宋体" w:hAnsi="宋体" w:eastAsia="宋体" w:cs="宋体"/>
          <w:b/>
          <w:bCs/>
          <w:spacing w:val="7"/>
          <w:sz w:val="27"/>
          <w:szCs w:val="27"/>
        </w:rPr>
        <w:t>建筑装饰装</w:t>
      </w:r>
      <w:r>
        <w:rPr>
          <w:rFonts w:ascii="宋体" w:hAnsi="宋体" w:eastAsia="宋体" w:cs="宋体"/>
          <w:b/>
          <w:bCs/>
          <w:spacing w:val="6"/>
          <w:sz w:val="27"/>
          <w:szCs w:val="27"/>
        </w:rPr>
        <w:t>修工程质量验收标准【强条已废】</w:t>
      </w:r>
    </w:p>
    <w:p w14:paraId="3F19FDAA">
      <w:pPr>
        <w:spacing w:before="286" w:line="220" w:lineRule="auto"/>
        <w:ind w:left="32"/>
        <w:rPr>
          <w:rFonts w:ascii="宋体" w:hAnsi="宋体" w:eastAsia="宋体" w:cs="宋体"/>
          <w:sz w:val="24"/>
          <w:szCs w:val="24"/>
        </w:rPr>
      </w:pPr>
      <w:r>
        <w:rPr>
          <w:rFonts w:ascii="宋体" w:hAnsi="宋体" w:eastAsia="宋体" w:cs="宋体"/>
          <w:b/>
          <w:bCs/>
          <w:color w:val="EE0000"/>
          <w:sz w:val="24"/>
          <w:szCs w:val="24"/>
        </w:rPr>
        <w:t>以下条目已被</w:t>
      </w:r>
      <w:r>
        <w:rPr>
          <w:rFonts w:ascii="宋体" w:hAnsi="宋体" w:eastAsia="宋体" w:cs="宋体"/>
          <w:b/>
          <w:bCs/>
          <w:color w:val="EE0000"/>
          <w:sz w:val="24"/>
          <w:szCs w:val="24"/>
          <w:u w:val="single" w:color="auto"/>
        </w:rPr>
        <w:t>《建筑与市政工程施工质量控</w:t>
      </w:r>
      <w:r>
        <w:rPr>
          <w:rFonts w:ascii="宋体" w:hAnsi="宋体" w:eastAsia="宋体" w:cs="宋体"/>
          <w:b/>
          <w:bCs/>
          <w:color w:val="EE0000"/>
          <w:spacing w:val="-1"/>
          <w:sz w:val="24"/>
          <w:szCs w:val="24"/>
          <w:u w:val="single" w:color="auto"/>
        </w:rPr>
        <w:t>制通用规范》</w:t>
      </w:r>
      <w:r>
        <w:rPr>
          <w:rFonts w:ascii="Times New Roman" w:hAnsi="Times New Roman" w:eastAsia="Times New Roman" w:cs="Times New Roman"/>
          <w:b/>
          <w:bCs/>
          <w:color w:val="EE0000"/>
          <w:spacing w:val="-1"/>
          <w:sz w:val="24"/>
          <w:szCs w:val="24"/>
          <w:u w:val="single" w:color="auto"/>
        </w:rPr>
        <w:t>GB55032-2022</w:t>
      </w:r>
      <w:r>
        <w:rPr>
          <w:rFonts w:ascii="宋体" w:hAnsi="宋体" w:eastAsia="宋体" w:cs="宋体"/>
          <w:b/>
          <w:bCs/>
          <w:color w:val="EE0000"/>
          <w:spacing w:val="-1"/>
          <w:sz w:val="24"/>
          <w:szCs w:val="24"/>
        </w:rPr>
        <w:t>替代</w:t>
      </w:r>
    </w:p>
    <w:p w14:paraId="0EE9176F">
      <w:pPr>
        <w:spacing w:before="155" w:line="299" w:lineRule="auto"/>
        <w:ind w:left="8" w:right="120" w:hanging="2"/>
        <w:rPr>
          <w:rFonts w:ascii="宋体" w:hAnsi="宋体" w:eastAsia="宋体" w:cs="宋体"/>
          <w:sz w:val="24"/>
          <w:szCs w:val="24"/>
        </w:rPr>
      </w:pPr>
      <w:r>
        <w:rPr>
          <w:rFonts w:ascii="Times New Roman" w:hAnsi="Times New Roman" w:eastAsia="Times New Roman" w:cs="Times New Roman"/>
          <w:strike/>
          <w:sz w:val="24"/>
          <w:szCs w:val="24"/>
        </w:rPr>
        <w:t xml:space="preserve">3.1.4    </w:t>
      </w:r>
      <w:r>
        <w:rPr>
          <w:rFonts w:ascii="宋体" w:hAnsi="宋体" w:eastAsia="宋体" w:cs="宋体"/>
          <w:strike/>
          <w:sz w:val="24"/>
          <w:szCs w:val="24"/>
        </w:rPr>
        <w:t>既有建筑装饰装修工程设计涉及主体和承重结构变动</w:t>
      </w:r>
      <w:r>
        <w:rPr>
          <w:rFonts w:ascii="宋体" w:hAnsi="宋体" w:eastAsia="宋体" w:cs="宋体"/>
          <w:strike/>
          <w:spacing w:val="-1"/>
          <w:sz w:val="24"/>
          <w:szCs w:val="24"/>
        </w:rPr>
        <w:t>时，必须在施工前委托原</w:t>
      </w:r>
      <w:r>
        <w:rPr>
          <w:rFonts w:ascii="宋体" w:hAnsi="宋体" w:eastAsia="宋体" w:cs="宋体"/>
          <w:sz w:val="24"/>
          <w:szCs w:val="24"/>
        </w:rPr>
        <w:t xml:space="preserve"> </w:t>
      </w:r>
      <w:r>
        <w:rPr>
          <w:rFonts w:ascii="宋体" w:hAnsi="宋体" w:eastAsia="宋体" w:cs="宋体"/>
          <w:strike/>
          <w:sz w:val="24"/>
          <w:szCs w:val="24"/>
        </w:rPr>
        <w:t>结构设计单位或者具有相应资质条件的设计单位提出</w:t>
      </w:r>
      <w:r>
        <w:rPr>
          <w:rFonts w:ascii="宋体" w:hAnsi="宋体" w:eastAsia="宋体" w:cs="宋体"/>
          <w:strike/>
          <w:spacing w:val="-1"/>
          <w:sz w:val="24"/>
          <w:szCs w:val="24"/>
        </w:rPr>
        <w:t>设计方案，或由检测鉴定单位对</w:t>
      </w:r>
      <w:r>
        <w:rPr>
          <w:rFonts w:ascii="宋体" w:hAnsi="宋体" w:eastAsia="宋体" w:cs="宋体"/>
          <w:sz w:val="24"/>
          <w:szCs w:val="24"/>
        </w:rPr>
        <w:t xml:space="preserve"> </w:t>
      </w:r>
      <w:r>
        <w:rPr>
          <w:rFonts w:ascii="宋体" w:hAnsi="宋体" w:eastAsia="宋体" w:cs="宋体"/>
          <w:strike/>
          <w:spacing w:val="-1"/>
          <w:sz w:val="24"/>
          <w:szCs w:val="24"/>
        </w:rPr>
        <w:t>建筑结构的安全性进行鉴定。</w:t>
      </w:r>
    </w:p>
    <w:p w14:paraId="2F25F35D">
      <w:pPr>
        <w:spacing w:before="154" w:line="219"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6.1.11    </w:t>
      </w:r>
      <w:r>
        <w:rPr>
          <w:rFonts w:ascii="宋体" w:hAnsi="宋体" w:eastAsia="宋体" w:cs="宋体"/>
          <w:strike/>
          <w:sz w:val="24"/>
          <w:szCs w:val="24"/>
        </w:rPr>
        <w:t>建筑外门窗安装必须</w:t>
      </w:r>
      <w:r>
        <w:rPr>
          <w:rFonts w:ascii="宋体" w:hAnsi="宋体" w:eastAsia="宋体" w:cs="宋体"/>
          <w:strike/>
          <w:spacing w:val="-1"/>
          <w:sz w:val="24"/>
          <w:szCs w:val="24"/>
        </w:rPr>
        <w:t>牢固。在砌体上安装门窗严禁采用射钉固定。</w:t>
      </w:r>
    </w:p>
    <w:p w14:paraId="396A670F">
      <w:pPr>
        <w:spacing w:before="155" w:line="220"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6.1.12    </w:t>
      </w:r>
      <w:r>
        <w:rPr>
          <w:rFonts w:ascii="宋体" w:hAnsi="宋体" w:eastAsia="宋体" w:cs="宋体"/>
          <w:strike/>
          <w:sz w:val="24"/>
          <w:szCs w:val="24"/>
        </w:rPr>
        <w:t>推拉门窗扇必须牢固</w:t>
      </w:r>
      <w:r>
        <w:rPr>
          <w:rFonts w:ascii="宋体" w:hAnsi="宋体" w:eastAsia="宋体" w:cs="宋体"/>
          <w:strike/>
          <w:spacing w:val="-1"/>
          <w:sz w:val="24"/>
          <w:szCs w:val="24"/>
        </w:rPr>
        <w:t>，必须安装防脱落装置。</w:t>
      </w:r>
    </w:p>
    <w:p w14:paraId="4103C7E4">
      <w:pPr>
        <w:spacing w:before="153"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7.1.12    </w:t>
      </w:r>
      <w:r>
        <w:rPr>
          <w:rFonts w:ascii="宋体" w:hAnsi="宋体" w:eastAsia="宋体" w:cs="宋体"/>
          <w:strike/>
          <w:sz w:val="24"/>
          <w:szCs w:val="24"/>
        </w:rPr>
        <w:t>重型设备和有振动荷载的设备严禁安装</w:t>
      </w:r>
      <w:r>
        <w:rPr>
          <w:rFonts w:ascii="宋体" w:hAnsi="宋体" w:eastAsia="宋体" w:cs="宋体"/>
          <w:strike/>
          <w:spacing w:val="-1"/>
          <w:sz w:val="24"/>
          <w:szCs w:val="24"/>
        </w:rPr>
        <w:t>在吊顶工程的龙骨上。</w:t>
      </w:r>
    </w:p>
    <w:p w14:paraId="1BC1A35F">
      <w:pPr>
        <w:spacing w:before="157" w:line="279" w:lineRule="auto"/>
        <w:ind w:left="6" w:right="128" w:firstLine="17"/>
        <w:rPr>
          <w:rFonts w:ascii="宋体" w:hAnsi="宋体" w:eastAsia="宋体" w:cs="宋体"/>
          <w:sz w:val="24"/>
          <w:szCs w:val="24"/>
        </w:rPr>
      </w:pPr>
      <w:r>
        <w:rPr>
          <w:rFonts w:ascii="Times New Roman" w:hAnsi="Times New Roman" w:eastAsia="Times New Roman" w:cs="Times New Roman"/>
          <w:strike/>
          <w:spacing w:val="-1"/>
          <w:sz w:val="24"/>
          <w:szCs w:val="24"/>
        </w:rPr>
        <w:t xml:space="preserve">11.1.12    </w:t>
      </w:r>
      <w:r>
        <w:rPr>
          <w:rFonts w:ascii="宋体" w:hAnsi="宋体" w:eastAsia="宋体" w:cs="宋体"/>
          <w:strike/>
          <w:spacing w:val="-1"/>
          <w:sz w:val="24"/>
          <w:szCs w:val="24"/>
        </w:rPr>
        <w:t>幕墙与主体结构连接的各种预埋件，其数量、规格、位置和防腐处理必须符</w:t>
      </w:r>
      <w:r>
        <w:rPr>
          <w:rFonts w:ascii="宋体" w:hAnsi="宋体" w:eastAsia="宋体" w:cs="宋体"/>
          <w:spacing w:val="6"/>
          <w:sz w:val="24"/>
          <w:szCs w:val="24"/>
        </w:rPr>
        <w:t xml:space="preserve"> </w:t>
      </w:r>
      <w:r>
        <w:rPr>
          <w:rFonts w:ascii="宋体" w:hAnsi="宋体" w:eastAsia="宋体" w:cs="宋体"/>
          <w:strike/>
          <w:spacing w:val="-2"/>
          <w:sz w:val="24"/>
          <w:szCs w:val="24"/>
        </w:rPr>
        <w:t>合设计要求。</w:t>
      </w:r>
    </w:p>
    <w:p w14:paraId="6B34F081">
      <w:pPr>
        <w:spacing w:line="279" w:lineRule="auto"/>
        <w:rPr>
          <w:rFonts w:ascii="宋体" w:hAnsi="宋体" w:eastAsia="宋体" w:cs="宋体"/>
          <w:sz w:val="24"/>
          <w:szCs w:val="24"/>
        </w:rPr>
        <w:sectPr>
          <w:footerReference r:id="rId43" w:type="default"/>
          <w:pgSz w:w="11907" w:h="16839"/>
          <w:pgMar w:top="400" w:right="1489" w:bottom="743" w:left="1421" w:header="0" w:footer="582" w:gutter="0"/>
          <w:cols w:space="720" w:num="1"/>
        </w:sectPr>
      </w:pPr>
    </w:p>
    <w:p w14:paraId="01984EEE">
      <w:pPr>
        <w:pStyle w:val="2"/>
        <w:spacing w:line="309" w:lineRule="auto"/>
      </w:pPr>
    </w:p>
    <w:p w14:paraId="7FA3AC3A">
      <w:pPr>
        <w:pStyle w:val="2"/>
        <w:spacing w:line="309" w:lineRule="auto"/>
      </w:pPr>
    </w:p>
    <w:p w14:paraId="6368F0B2">
      <w:pPr>
        <w:pStyle w:val="2"/>
        <w:spacing w:line="309" w:lineRule="auto"/>
      </w:pPr>
    </w:p>
    <w:p w14:paraId="3BC79729">
      <w:pPr>
        <w:spacing w:before="88" w:line="226" w:lineRule="auto"/>
        <w:ind w:left="258"/>
        <w:outlineLvl w:val="1"/>
        <w:rPr>
          <w:rFonts w:ascii="宋体" w:hAnsi="宋体" w:eastAsia="宋体" w:cs="宋体"/>
          <w:sz w:val="27"/>
          <w:szCs w:val="27"/>
        </w:rPr>
      </w:pPr>
      <w:bookmarkStart w:id="57" w:name="bookmark104"/>
      <w:bookmarkEnd w:id="57"/>
      <w:r>
        <w:rPr>
          <w:rFonts w:ascii="Times New Roman" w:hAnsi="Times New Roman" w:eastAsia="Times New Roman" w:cs="Times New Roman"/>
          <w:b/>
          <w:bCs/>
          <w:spacing w:val="6"/>
          <w:sz w:val="27"/>
          <w:szCs w:val="27"/>
        </w:rPr>
        <w:t>3.</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50325-2010</w:t>
      </w:r>
      <w:r>
        <w:rPr>
          <w:rFonts w:ascii="Times New Roman" w:hAnsi="Times New Roman" w:eastAsia="Times New Roman" w:cs="Times New Roman"/>
          <w:b/>
          <w:bCs/>
          <w:spacing w:val="22"/>
          <w:sz w:val="27"/>
          <w:szCs w:val="27"/>
        </w:rPr>
        <w:t xml:space="preserve">  </w:t>
      </w:r>
      <w:r>
        <w:rPr>
          <w:rFonts w:ascii="宋体" w:hAnsi="宋体" w:eastAsia="宋体" w:cs="宋体"/>
          <w:b/>
          <w:bCs/>
          <w:spacing w:val="6"/>
          <w:sz w:val="27"/>
          <w:szCs w:val="27"/>
        </w:rPr>
        <w:t>民用建筑工程室内环境污染控制规范【部分强条已</w:t>
      </w:r>
      <w:r>
        <w:rPr>
          <w:rFonts w:ascii="宋体" w:hAnsi="宋体" w:eastAsia="宋体" w:cs="宋体"/>
          <w:b/>
          <w:bCs/>
          <w:spacing w:val="5"/>
          <w:sz w:val="27"/>
          <w:szCs w:val="27"/>
        </w:rPr>
        <w:t>废】</w:t>
      </w:r>
    </w:p>
    <w:p w14:paraId="53F06052">
      <w:pPr>
        <w:spacing w:before="284" w:line="220" w:lineRule="auto"/>
        <w:ind w:left="290"/>
        <w:rPr>
          <w:rFonts w:ascii="宋体" w:hAnsi="宋体" w:eastAsia="宋体" w:cs="宋体"/>
          <w:sz w:val="24"/>
          <w:szCs w:val="24"/>
        </w:rPr>
      </w:pPr>
      <w:r>
        <w:rPr>
          <w:rFonts w:ascii="宋体" w:hAnsi="宋体" w:eastAsia="宋体" w:cs="宋体"/>
          <w:b/>
          <w:bCs/>
          <w:color w:val="EE0000"/>
          <w:spacing w:val="-2"/>
          <w:sz w:val="24"/>
          <w:szCs w:val="24"/>
        </w:rPr>
        <w:t>以下部分条目已被《</w:t>
      </w:r>
      <w:r>
        <w:rPr>
          <w:rFonts w:ascii="Times New Roman" w:hAnsi="Times New Roman" w:eastAsia="Times New Roman" w:cs="Times New Roman"/>
          <w:b/>
          <w:bCs/>
          <w:color w:val="0563C1"/>
          <w:spacing w:val="-2"/>
          <w:sz w:val="24"/>
          <w:szCs w:val="24"/>
          <w:u w:val="single" w:color="auto"/>
        </w:rPr>
        <w:t xml:space="preserve">GB55016-2021 </w:t>
      </w:r>
      <w:r>
        <w:rPr>
          <w:rFonts w:ascii="宋体" w:hAnsi="宋体" w:eastAsia="宋体" w:cs="宋体"/>
          <w:b/>
          <w:bCs/>
          <w:color w:val="0563C1"/>
          <w:spacing w:val="-2"/>
          <w:sz w:val="24"/>
          <w:szCs w:val="24"/>
          <w:u w:val="single" w:color="auto"/>
        </w:rPr>
        <w:t>建筑环境通用规</w:t>
      </w:r>
      <w:r>
        <w:rPr>
          <w:rFonts w:ascii="宋体" w:hAnsi="宋体" w:eastAsia="宋体" w:cs="宋体"/>
          <w:b/>
          <w:bCs/>
          <w:color w:val="0563C1"/>
          <w:spacing w:val="-3"/>
          <w:sz w:val="24"/>
          <w:szCs w:val="24"/>
          <w:u w:val="single" w:color="auto"/>
        </w:rPr>
        <w:t>范</w:t>
      </w:r>
      <w:r>
        <w:rPr>
          <w:rFonts w:ascii="宋体" w:hAnsi="宋体" w:eastAsia="宋体" w:cs="宋体"/>
          <w:b/>
          <w:bCs/>
          <w:color w:val="EE0000"/>
          <w:spacing w:val="-3"/>
          <w:sz w:val="24"/>
          <w:szCs w:val="24"/>
        </w:rPr>
        <w:t>》替代</w:t>
      </w:r>
    </w:p>
    <w:p w14:paraId="7D677E8E">
      <w:pPr>
        <w:spacing w:before="154" w:line="219" w:lineRule="auto"/>
        <w:ind w:left="270"/>
        <w:rPr>
          <w:rFonts w:ascii="宋体" w:hAnsi="宋体" w:eastAsia="宋体" w:cs="宋体"/>
          <w:sz w:val="24"/>
          <w:szCs w:val="24"/>
        </w:rPr>
      </w:pPr>
      <w:r>
        <w:rPr>
          <w:rFonts w:ascii="Times New Roman" w:hAnsi="Times New Roman" w:eastAsia="Times New Roman" w:cs="Times New Roman"/>
          <w:b/>
          <w:bCs/>
          <w:color w:val="4472C4"/>
          <w:spacing w:val="-2"/>
          <w:sz w:val="24"/>
          <w:szCs w:val="24"/>
        </w:rPr>
        <w:t xml:space="preserve">1.0.5    </w:t>
      </w:r>
      <w:r>
        <w:rPr>
          <w:rFonts w:ascii="宋体" w:hAnsi="宋体" w:eastAsia="宋体" w:cs="宋体"/>
          <w:b/>
          <w:bCs/>
          <w:color w:val="4472C4"/>
          <w:spacing w:val="-2"/>
          <w:sz w:val="24"/>
          <w:szCs w:val="24"/>
        </w:rPr>
        <w:t>民用建筑工程所用的建筑材料和装修材料必</w:t>
      </w:r>
      <w:r>
        <w:rPr>
          <w:rFonts w:ascii="宋体" w:hAnsi="宋体" w:eastAsia="宋体" w:cs="宋体"/>
          <w:b/>
          <w:bCs/>
          <w:color w:val="4472C4"/>
          <w:spacing w:val="-3"/>
          <w:sz w:val="24"/>
          <w:szCs w:val="24"/>
        </w:rPr>
        <w:t>须符合本规范的有关规定。</w:t>
      </w:r>
    </w:p>
    <w:p w14:paraId="20B8656E">
      <w:pPr>
        <w:spacing w:before="156" w:line="278" w:lineRule="auto"/>
        <w:ind w:left="265" w:right="446" w:hanging="1"/>
        <w:rPr>
          <w:rFonts w:ascii="宋体" w:hAnsi="宋体" w:eastAsia="宋体" w:cs="宋体"/>
          <w:sz w:val="24"/>
          <w:szCs w:val="24"/>
        </w:rPr>
      </w:pPr>
      <w:r>
        <w:rPr>
          <w:rFonts w:ascii="Times New Roman" w:hAnsi="Times New Roman" w:eastAsia="Times New Roman" w:cs="Times New Roman"/>
          <w:strike/>
          <w:sz w:val="24"/>
          <w:szCs w:val="24"/>
        </w:rPr>
        <w:t xml:space="preserve">3.1.1    </w:t>
      </w:r>
      <w:r>
        <w:rPr>
          <w:rFonts w:ascii="宋体" w:hAnsi="宋体" w:eastAsia="宋体" w:cs="宋体"/>
          <w:strike/>
          <w:sz w:val="24"/>
          <w:szCs w:val="24"/>
        </w:rPr>
        <w:t>民用建筑工程所使用的砂、石、砖、砌块、水泥、混</w:t>
      </w:r>
      <w:r>
        <w:rPr>
          <w:rFonts w:ascii="宋体" w:hAnsi="宋体" w:eastAsia="宋体" w:cs="宋体"/>
          <w:strike/>
          <w:spacing w:val="-1"/>
          <w:sz w:val="24"/>
          <w:szCs w:val="24"/>
        </w:rPr>
        <w:t>凝土、混凝土预制构件等</w:t>
      </w:r>
      <w:r>
        <w:rPr>
          <w:rFonts w:ascii="宋体" w:hAnsi="宋体" w:eastAsia="宋体" w:cs="宋体"/>
          <w:sz w:val="24"/>
          <w:szCs w:val="24"/>
        </w:rPr>
        <w:t xml:space="preserve"> </w:t>
      </w:r>
      <w:r>
        <w:rPr>
          <w:rFonts w:ascii="宋体" w:hAnsi="宋体" w:eastAsia="宋体" w:cs="宋体"/>
          <w:strike/>
          <w:spacing w:val="-2"/>
          <w:sz w:val="24"/>
          <w:szCs w:val="24"/>
        </w:rPr>
        <w:t>无机非金属建筑主体材料的放射性限量，应符合表</w:t>
      </w:r>
      <w:r>
        <w:rPr>
          <w:rFonts w:ascii="宋体" w:hAnsi="宋体" w:eastAsia="宋体" w:cs="宋体"/>
          <w:strike/>
          <w:spacing w:val="-33"/>
          <w:sz w:val="24"/>
          <w:szCs w:val="24"/>
        </w:rPr>
        <w:t xml:space="preserve"> </w:t>
      </w:r>
      <w:r>
        <w:rPr>
          <w:rFonts w:ascii="Times New Roman" w:hAnsi="Times New Roman" w:eastAsia="Times New Roman" w:cs="Times New Roman"/>
          <w:strike/>
          <w:spacing w:val="-2"/>
          <w:sz w:val="24"/>
          <w:szCs w:val="24"/>
        </w:rPr>
        <w:t>3.1.1</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的规定。</w:t>
      </w:r>
    </w:p>
    <w:p w14:paraId="51D45324">
      <w:pPr>
        <w:spacing w:before="181" w:line="219" w:lineRule="auto"/>
        <w:ind w:left="2565"/>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4"/>
          <w:sz w:val="21"/>
          <w:szCs w:val="21"/>
        </w:rPr>
        <w:t xml:space="preserve"> </w:t>
      </w:r>
      <w:r>
        <w:rPr>
          <w:rFonts w:ascii="Times New Roman" w:hAnsi="Times New Roman" w:eastAsia="Times New Roman" w:cs="Times New Roman"/>
          <w:strike/>
          <w:spacing w:val="-1"/>
          <w:sz w:val="21"/>
          <w:szCs w:val="21"/>
        </w:rPr>
        <w:t xml:space="preserve">3.1.1    </w:t>
      </w:r>
      <w:r>
        <w:rPr>
          <w:rFonts w:ascii="宋体" w:hAnsi="宋体" w:eastAsia="宋体" w:cs="宋体"/>
          <w:strike/>
          <w:spacing w:val="-1"/>
          <w:sz w:val="21"/>
          <w:szCs w:val="21"/>
        </w:rPr>
        <w:t>无机非金属建筑主体材料的放射性限量</w:t>
      </w:r>
    </w:p>
    <w:p w14:paraId="049ACA64">
      <w:pPr>
        <w:spacing w:line="19"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87"/>
        <w:gridCol w:w="4788"/>
      </w:tblGrid>
      <w:tr w14:paraId="59709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4787" w:type="dxa"/>
            <w:vAlign w:val="top"/>
          </w:tcPr>
          <w:p w14:paraId="757DE272">
            <w:pPr>
              <w:pStyle w:val="6"/>
              <w:spacing w:before="112" w:line="215" w:lineRule="auto"/>
              <w:ind w:left="1980"/>
            </w:pPr>
            <w:r>
              <w:rPr>
                <w:strike/>
                <w:spacing w:val="-2"/>
              </w:rPr>
              <w:t>测定项目</w:t>
            </w:r>
          </w:p>
        </w:tc>
        <w:tc>
          <w:tcPr>
            <w:tcW w:w="4788" w:type="dxa"/>
            <w:vAlign w:val="top"/>
          </w:tcPr>
          <w:p w14:paraId="23AAE18C">
            <w:pPr>
              <w:pStyle w:val="6"/>
              <w:spacing w:before="112" w:line="215" w:lineRule="auto"/>
              <w:ind w:left="2202"/>
            </w:pPr>
            <w:r>
              <w:rPr>
                <w:strike/>
                <w:spacing w:val="-6"/>
              </w:rPr>
              <w:t>限量</w:t>
            </w:r>
          </w:p>
        </w:tc>
      </w:tr>
      <w:tr w14:paraId="2E2C9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787" w:type="dxa"/>
            <w:vAlign w:val="top"/>
          </w:tcPr>
          <w:p w14:paraId="454DDD08">
            <w:pPr>
              <w:pStyle w:val="6"/>
              <w:spacing w:before="110" w:line="214" w:lineRule="auto"/>
              <w:ind w:left="1761"/>
              <w:rPr>
                <w:rFonts w:ascii="Times New Roman" w:hAnsi="Times New Roman" w:eastAsia="Times New Roman" w:cs="Times New Roman"/>
                <w:sz w:val="14"/>
                <w:szCs w:val="14"/>
              </w:rPr>
            </w:pPr>
            <w:r>
              <w:rPr>
                <w:strike/>
                <w:spacing w:val="-5"/>
              </w:rPr>
              <w:t>内照射指数</w:t>
            </w:r>
            <w:r>
              <w:rPr>
                <w:strike/>
                <w:spacing w:val="-47"/>
              </w:rPr>
              <w:t xml:space="preserve"> </w:t>
            </w:r>
            <w:r>
              <w:rPr>
                <w:rFonts w:ascii="Times New Roman" w:hAnsi="Times New Roman" w:eastAsia="Times New Roman" w:cs="Times New Roman"/>
                <w:strike/>
                <w:spacing w:val="-5"/>
              </w:rPr>
              <w:t>I</w:t>
            </w:r>
            <w:r>
              <w:rPr>
                <w:rFonts w:ascii="Times New Roman" w:hAnsi="Times New Roman" w:eastAsia="Times New Roman" w:cs="Times New Roman"/>
                <w:spacing w:val="-5"/>
                <w:position w:val="-1"/>
                <w:sz w:val="14"/>
                <w:szCs w:val="14"/>
                <w:u w:val="single" w:color="auto"/>
              </w:rPr>
              <w:t>Ra</w:t>
            </w:r>
          </w:p>
        </w:tc>
        <w:tc>
          <w:tcPr>
            <w:tcW w:w="4788" w:type="dxa"/>
            <w:vAlign w:val="top"/>
          </w:tcPr>
          <w:p w14:paraId="525B4985">
            <w:pPr>
              <w:pStyle w:val="6"/>
              <w:spacing w:before="110" w:line="214" w:lineRule="auto"/>
              <w:ind w:left="2176"/>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1.0</w:t>
            </w:r>
          </w:p>
        </w:tc>
      </w:tr>
      <w:tr w14:paraId="05623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787" w:type="dxa"/>
            <w:vAlign w:val="top"/>
          </w:tcPr>
          <w:p w14:paraId="73621779">
            <w:pPr>
              <w:pStyle w:val="6"/>
              <w:spacing w:before="111" w:line="217" w:lineRule="auto"/>
              <w:ind w:left="1762"/>
              <w:rPr>
                <w:sz w:val="11"/>
                <w:szCs w:val="11"/>
              </w:rPr>
            </w:pPr>
            <w:r>
              <w:rPr>
                <w:strike/>
                <w:spacing w:val="-3"/>
              </w:rPr>
              <w:t>外照射指数</w:t>
            </w:r>
            <w:r>
              <w:rPr>
                <w:strike/>
                <w:spacing w:val="-45"/>
              </w:rPr>
              <w:t xml:space="preserve"> </w:t>
            </w:r>
            <w:r>
              <w:rPr>
                <w:rFonts w:ascii="Times New Roman" w:hAnsi="Times New Roman" w:eastAsia="Times New Roman" w:cs="Times New Roman"/>
                <w:strike/>
                <w:spacing w:val="-3"/>
              </w:rPr>
              <w:t>I</w:t>
            </w:r>
            <w:r>
              <w:rPr>
                <w:spacing w:val="-28"/>
                <w:sz w:val="11"/>
                <w:szCs w:val="11"/>
                <w:u w:val="single" w:color="auto"/>
              </w:rPr>
              <w:t xml:space="preserve"> </w:t>
            </w:r>
            <w:r>
              <w:rPr>
                <w:spacing w:val="-3"/>
                <w:sz w:val="11"/>
                <w:szCs w:val="11"/>
                <w:u w:val="single" w:color="auto"/>
              </w:rPr>
              <w:t>γ</w:t>
            </w:r>
          </w:p>
        </w:tc>
        <w:tc>
          <w:tcPr>
            <w:tcW w:w="4788" w:type="dxa"/>
            <w:vAlign w:val="top"/>
          </w:tcPr>
          <w:p w14:paraId="2D22C3BC">
            <w:pPr>
              <w:pStyle w:val="6"/>
              <w:spacing w:before="111" w:line="217" w:lineRule="auto"/>
              <w:ind w:left="2176"/>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1.0</w:t>
            </w:r>
          </w:p>
        </w:tc>
      </w:tr>
    </w:tbl>
    <w:p w14:paraId="142B9461">
      <w:pPr>
        <w:spacing w:before="147" w:line="340" w:lineRule="auto"/>
        <w:ind w:left="264" w:right="326"/>
        <w:jc w:val="both"/>
        <w:rPr>
          <w:rFonts w:ascii="宋体" w:hAnsi="宋体" w:eastAsia="宋体" w:cs="宋体"/>
          <w:sz w:val="24"/>
          <w:szCs w:val="24"/>
        </w:rPr>
      </w:pPr>
      <w:r>
        <w:rPr>
          <w:rFonts w:ascii="Times New Roman" w:hAnsi="Times New Roman" w:eastAsia="Times New Roman" w:cs="Times New Roman"/>
          <w:strike/>
          <w:sz w:val="24"/>
          <w:szCs w:val="24"/>
        </w:rPr>
        <w:t xml:space="preserve">3.1.2    </w:t>
      </w:r>
      <w:r>
        <w:rPr>
          <w:rFonts w:ascii="宋体" w:hAnsi="宋体" w:eastAsia="宋体" w:cs="宋体"/>
          <w:strike/>
          <w:sz w:val="24"/>
          <w:szCs w:val="24"/>
        </w:rPr>
        <w:t>民用建筑工程所使用的无机非金属装修材料，包括石</w:t>
      </w:r>
      <w:r>
        <w:rPr>
          <w:rFonts w:ascii="宋体" w:hAnsi="宋体" w:eastAsia="宋体" w:cs="宋体"/>
          <w:strike/>
          <w:spacing w:val="-1"/>
          <w:sz w:val="24"/>
          <w:szCs w:val="24"/>
        </w:rPr>
        <w:t>材、建筑卫生陶瓷、石膏</w:t>
      </w:r>
      <w:r>
        <w:rPr>
          <w:rFonts w:ascii="宋体" w:hAnsi="宋体" w:eastAsia="宋体" w:cs="宋体"/>
          <w:sz w:val="24"/>
          <w:szCs w:val="24"/>
        </w:rPr>
        <w:t xml:space="preserve">  </w:t>
      </w:r>
      <w:r>
        <w:rPr>
          <w:rFonts w:ascii="宋体" w:hAnsi="宋体" w:eastAsia="宋体" w:cs="宋体"/>
          <w:strike/>
          <w:spacing w:val="-1"/>
          <w:sz w:val="24"/>
          <w:szCs w:val="24"/>
        </w:rPr>
        <w:t>板、吊顶材料、无机瓷质砖粘结材料等，进行分类时，其放射性限</w:t>
      </w:r>
      <w:r>
        <w:rPr>
          <w:rFonts w:ascii="宋体" w:hAnsi="宋体" w:eastAsia="宋体" w:cs="宋体"/>
          <w:strike/>
          <w:spacing w:val="-2"/>
          <w:sz w:val="24"/>
          <w:szCs w:val="24"/>
        </w:rPr>
        <w:t>量应符合</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3.1.2</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的规</w:t>
      </w:r>
      <w:r>
        <w:rPr>
          <w:rFonts w:ascii="宋体" w:hAnsi="宋体" w:eastAsia="宋体" w:cs="宋体"/>
          <w:sz w:val="24"/>
          <w:szCs w:val="24"/>
        </w:rPr>
        <w:t xml:space="preserve"> </w:t>
      </w:r>
      <w:r>
        <w:rPr>
          <w:rFonts w:ascii="宋体" w:hAnsi="宋体" w:eastAsia="宋体" w:cs="宋体"/>
          <w:strike/>
          <w:spacing w:val="-3"/>
          <w:sz w:val="24"/>
          <w:szCs w:val="24"/>
        </w:rPr>
        <w:t>定。</w:t>
      </w:r>
    </w:p>
    <w:p w14:paraId="4758F5AB">
      <w:pPr>
        <w:spacing w:before="20" w:line="219" w:lineRule="auto"/>
        <w:ind w:left="2881"/>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7"/>
          <w:sz w:val="21"/>
          <w:szCs w:val="21"/>
        </w:rPr>
        <w:t xml:space="preserve"> </w:t>
      </w:r>
      <w:r>
        <w:rPr>
          <w:rFonts w:ascii="Times New Roman" w:hAnsi="Times New Roman" w:eastAsia="Times New Roman" w:cs="Times New Roman"/>
          <w:strike/>
          <w:spacing w:val="-1"/>
          <w:sz w:val="21"/>
          <w:szCs w:val="21"/>
        </w:rPr>
        <w:t xml:space="preserve">3.1.2    </w:t>
      </w:r>
      <w:r>
        <w:rPr>
          <w:rFonts w:ascii="宋体" w:hAnsi="宋体" w:eastAsia="宋体" w:cs="宋体"/>
          <w:strike/>
          <w:spacing w:val="-1"/>
          <w:sz w:val="21"/>
          <w:szCs w:val="21"/>
        </w:rPr>
        <w:t>无机非金属装修材料放射性限量</w:t>
      </w:r>
    </w:p>
    <w:p w14:paraId="3E314DE0">
      <w:pPr>
        <w:spacing w:line="19"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93"/>
        <w:gridCol w:w="3188"/>
        <w:gridCol w:w="3194"/>
      </w:tblGrid>
      <w:tr w14:paraId="650DD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3193" w:type="dxa"/>
            <w:vMerge w:val="restart"/>
            <w:tcBorders>
              <w:bottom w:val="nil"/>
            </w:tcBorders>
            <w:vAlign w:val="top"/>
          </w:tcPr>
          <w:p w14:paraId="3917E047">
            <w:pPr>
              <w:pStyle w:val="6"/>
              <w:spacing w:before="298" w:line="220" w:lineRule="auto"/>
              <w:ind w:left="1183"/>
            </w:pPr>
            <w:r>
              <w:rPr>
                <w:strike/>
                <w:spacing w:val="-2"/>
              </w:rPr>
              <w:t>测定项目</w:t>
            </w:r>
          </w:p>
        </w:tc>
        <w:tc>
          <w:tcPr>
            <w:tcW w:w="6382" w:type="dxa"/>
            <w:gridSpan w:val="2"/>
            <w:vAlign w:val="top"/>
          </w:tcPr>
          <w:p w14:paraId="339E62FB">
            <w:pPr>
              <w:pStyle w:val="6"/>
              <w:spacing w:before="112" w:line="216" w:lineRule="auto"/>
              <w:ind w:left="3000"/>
            </w:pPr>
            <w:r>
              <w:rPr>
                <w:strike/>
                <w:spacing w:val="-6"/>
              </w:rPr>
              <w:t>限量</w:t>
            </w:r>
          </w:p>
        </w:tc>
      </w:tr>
      <w:tr w14:paraId="16672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3193" w:type="dxa"/>
            <w:vMerge w:val="continue"/>
            <w:tcBorders>
              <w:top w:val="nil"/>
            </w:tcBorders>
            <w:vAlign w:val="top"/>
          </w:tcPr>
          <w:p w14:paraId="1FBE58F2">
            <w:pPr>
              <w:rPr>
                <w:rFonts w:ascii="Arial"/>
                <w:sz w:val="21"/>
              </w:rPr>
            </w:pPr>
          </w:p>
        </w:tc>
        <w:tc>
          <w:tcPr>
            <w:tcW w:w="3188" w:type="dxa"/>
            <w:vAlign w:val="top"/>
          </w:tcPr>
          <w:p w14:paraId="0756F3EE">
            <w:pPr>
              <w:spacing w:before="148" w:line="186" w:lineRule="auto"/>
              <w:ind w:left="1517"/>
              <w:rPr>
                <w:rFonts w:ascii="Times New Roman" w:hAnsi="Times New Roman" w:eastAsia="Times New Roman" w:cs="Times New Roman"/>
                <w:sz w:val="21"/>
                <w:szCs w:val="21"/>
              </w:rPr>
            </w:pPr>
            <w:r>
              <w:rPr>
                <w:rFonts w:ascii="Times New Roman" w:hAnsi="Times New Roman" w:eastAsia="Times New Roman" w:cs="Times New Roman"/>
                <w:strike/>
                <w:sz w:val="21"/>
                <w:szCs w:val="21"/>
              </w:rPr>
              <w:t>A</w:t>
            </w:r>
          </w:p>
        </w:tc>
        <w:tc>
          <w:tcPr>
            <w:tcW w:w="3194" w:type="dxa"/>
            <w:vAlign w:val="top"/>
          </w:tcPr>
          <w:p w14:paraId="3E44F859">
            <w:pPr>
              <w:spacing w:before="151" w:line="183" w:lineRule="auto"/>
              <w:ind w:left="1527"/>
              <w:rPr>
                <w:rFonts w:ascii="Times New Roman" w:hAnsi="Times New Roman" w:eastAsia="Times New Roman" w:cs="Times New Roman"/>
                <w:sz w:val="21"/>
                <w:szCs w:val="21"/>
              </w:rPr>
            </w:pPr>
            <w:r>
              <w:rPr>
                <w:rFonts w:ascii="Times New Roman" w:hAnsi="Times New Roman" w:eastAsia="Times New Roman" w:cs="Times New Roman"/>
                <w:strike/>
                <w:sz w:val="21"/>
                <w:szCs w:val="21"/>
              </w:rPr>
              <w:t>B</w:t>
            </w:r>
          </w:p>
        </w:tc>
      </w:tr>
      <w:tr w14:paraId="1D07E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3193" w:type="dxa"/>
            <w:vAlign w:val="top"/>
          </w:tcPr>
          <w:p w14:paraId="53BA339F">
            <w:pPr>
              <w:pStyle w:val="6"/>
              <w:spacing w:before="109" w:line="214" w:lineRule="auto"/>
              <w:ind w:left="963"/>
              <w:rPr>
                <w:rFonts w:ascii="Times New Roman" w:hAnsi="Times New Roman" w:eastAsia="Times New Roman" w:cs="Times New Roman"/>
                <w:sz w:val="14"/>
                <w:szCs w:val="14"/>
              </w:rPr>
            </w:pPr>
            <w:r>
              <w:rPr>
                <w:strike/>
                <w:spacing w:val="-5"/>
              </w:rPr>
              <w:t>内照射指数</w:t>
            </w:r>
            <w:r>
              <w:rPr>
                <w:strike/>
                <w:spacing w:val="-47"/>
              </w:rPr>
              <w:t xml:space="preserve"> </w:t>
            </w:r>
            <w:r>
              <w:rPr>
                <w:rFonts w:ascii="Times New Roman" w:hAnsi="Times New Roman" w:eastAsia="Times New Roman" w:cs="Times New Roman"/>
                <w:strike/>
                <w:spacing w:val="-5"/>
              </w:rPr>
              <w:t>I</w:t>
            </w:r>
            <w:r>
              <w:rPr>
                <w:rFonts w:ascii="Times New Roman" w:hAnsi="Times New Roman" w:eastAsia="Times New Roman" w:cs="Times New Roman"/>
                <w:spacing w:val="-5"/>
                <w:position w:val="-1"/>
                <w:sz w:val="14"/>
                <w:szCs w:val="14"/>
                <w:u w:val="single" w:color="auto"/>
              </w:rPr>
              <w:t>Ra</w:t>
            </w:r>
          </w:p>
        </w:tc>
        <w:tc>
          <w:tcPr>
            <w:tcW w:w="3188" w:type="dxa"/>
            <w:vAlign w:val="top"/>
          </w:tcPr>
          <w:p w14:paraId="61403C04">
            <w:pPr>
              <w:pStyle w:val="6"/>
              <w:spacing w:before="109" w:line="214" w:lineRule="auto"/>
              <w:ind w:left="1377"/>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1.0</w:t>
            </w:r>
          </w:p>
        </w:tc>
        <w:tc>
          <w:tcPr>
            <w:tcW w:w="3194" w:type="dxa"/>
            <w:vAlign w:val="top"/>
          </w:tcPr>
          <w:p w14:paraId="6B315BD3">
            <w:pPr>
              <w:pStyle w:val="6"/>
              <w:spacing w:before="109" w:line="214" w:lineRule="auto"/>
              <w:ind w:left="1380"/>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1.3</w:t>
            </w:r>
          </w:p>
        </w:tc>
      </w:tr>
      <w:tr w14:paraId="10176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3193" w:type="dxa"/>
            <w:vAlign w:val="top"/>
          </w:tcPr>
          <w:p w14:paraId="4EBE2A0A">
            <w:pPr>
              <w:pStyle w:val="6"/>
              <w:spacing w:before="111" w:line="218" w:lineRule="auto"/>
              <w:ind w:left="964"/>
              <w:rPr>
                <w:sz w:val="11"/>
                <w:szCs w:val="11"/>
              </w:rPr>
            </w:pPr>
            <w:r>
              <w:rPr>
                <w:strike/>
                <w:spacing w:val="-3"/>
              </w:rPr>
              <w:t>外照射指数</w:t>
            </w:r>
            <w:r>
              <w:rPr>
                <w:strike/>
                <w:spacing w:val="-45"/>
              </w:rPr>
              <w:t xml:space="preserve"> </w:t>
            </w:r>
            <w:r>
              <w:rPr>
                <w:rFonts w:ascii="Times New Roman" w:hAnsi="Times New Roman" w:eastAsia="Times New Roman" w:cs="Times New Roman"/>
                <w:strike/>
                <w:spacing w:val="-3"/>
              </w:rPr>
              <w:t>I</w:t>
            </w:r>
            <w:r>
              <w:rPr>
                <w:spacing w:val="-28"/>
                <w:sz w:val="11"/>
                <w:szCs w:val="11"/>
                <w:u w:val="single" w:color="auto"/>
              </w:rPr>
              <w:t xml:space="preserve"> </w:t>
            </w:r>
            <w:r>
              <w:rPr>
                <w:spacing w:val="-3"/>
                <w:sz w:val="11"/>
                <w:szCs w:val="11"/>
                <w:u w:val="single" w:color="auto"/>
              </w:rPr>
              <w:t>γ</w:t>
            </w:r>
          </w:p>
        </w:tc>
        <w:tc>
          <w:tcPr>
            <w:tcW w:w="3188" w:type="dxa"/>
            <w:vAlign w:val="top"/>
          </w:tcPr>
          <w:p w14:paraId="551083C1">
            <w:pPr>
              <w:pStyle w:val="6"/>
              <w:spacing w:before="111" w:line="218" w:lineRule="auto"/>
              <w:ind w:left="1377"/>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1.3</w:t>
            </w:r>
          </w:p>
        </w:tc>
        <w:tc>
          <w:tcPr>
            <w:tcW w:w="3194" w:type="dxa"/>
            <w:vAlign w:val="top"/>
          </w:tcPr>
          <w:p w14:paraId="59D3AD9B">
            <w:pPr>
              <w:pStyle w:val="6"/>
              <w:spacing w:before="111" w:line="218" w:lineRule="auto"/>
              <w:ind w:left="1380"/>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1.9</w:t>
            </w:r>
          </w:p>
        </w:tc>
      </w:tr>
    </w:tbl>
    <w:p w14:paraId="156E0ABA">
      <w:pPr>
        <w:spacing w:before="146" w:line="279" w:lineRule="auto"/>
        <w:ind w:left="294" w:right="414" w:hanging="36"/>
        <w:rPr>
          <w:rFonts w:ascii="宋体" w:hAnsi="宋体" w:eastAsia="宋体" w:cs="宋体"/>
          <w:sz w:val="24"/>
          <w:szCs w:val="24"/>
        </w:rPr>
      </w:pPr>
      <w:r>
        <w:rPr>
          <w:rFonts w:ascii="Times New Roman" w:hAnsi="Times New Roman" w:eastAsia="Times New Roman" w:cs="Times New Roman"/>
          <w:b/>
          <w:bCs/>
          <w:color w:val="4472C4"/>
          <w:spacing w:val="-1"/>
          <w:sz w:val="24"/>
          <w:szCs w:val="24"/>
        </w:rPr>
        <w:t xml:space="preserve">3.2.1    </w:t>
      </w:r>
      <w:r>
        <w:rPr>
          <w:rFonts w:ascii="宋体" w:hAnsi="宋体" w:eastAsia="宋体" w:cs="宋体"/>
          <w:b/>
          <w:bCs/>
          <w:color w:val="4472C4"/>
          <w:spacing w:val="-1"/>
          <w:sz w:val="24"/>
          <w:szCs w:val="24"/>
        </w:rPr>
        <w:t>民用建筑工程室内用人造木板及饰面人造</w:t>
      </w:r>
      <w:r>
        <w:rPr>
          <w:rFonts w:ascii="宋体" w:hAnsi="宋体" w:eastAsia="宋体" w:cs="宋体"/>
          <w:b/>
          <w:bCs/>
          <w:color w:val="4472C4"/>
          <w:spacing w:val="-2"/>
          <w:sz w:val="24"/>
          <w:szCs w:val="24"/>
        </w:rPr>
        <w:t>木板，必须测定游离甲醛含量或游离</w:t>
      </w:r>
      <w:r>
        <w:rPr>
          <w:rFonts w:ascii="宋体" w:hAnsi="宋体" w:eastAsia="宋体" w:cs="宋体"/>
          <w:color w:val="4472C4"/>
          <w:sz w:val="24"/>
          <w:szCs w:val="24"/>
        </w:rPr>
        <w:t xml:space="preserve"> </w:t>
      </w:r>
      <w:r>
        <w:rPr>
          <w:rFonts w:ascii="宋体" w:hAnsi="宋体" w:eastAsia="宋体" w:cs="宋体"/>
          <w:b/>
          <w:bCs/>
          <w:color w:val="4472C4"/>
          <w:spacing w:val="-9"/>
          <w:sz w:val="24"/>
          <w:szCs w:val="24"/>
        </w:rPr>
        <w:t>甲醛释放量。</w:t>
      </w:r>
    </w:p>
    <w:p w14:paraId="398095AD">
      <w:pPr>
        <w:spacing w:before="154" w:line="299" w:lineRule="auto"/>
        <w:ind w:left="266" w:right="273" w:hanging="2"/>
        <w:rPr>
          <w:rFonts w:ascii="宋体" w:hAnsi="宋体" w:eastAsia="宋体" w:cs="宋体"/>
          <w:sz w:val="24"/>
          <w:szCs w:val="24"/>
        </w:rPr>
      </w:pPr>
      <w:r>
        <w:rPr>
          <w:rFonts w:ascii="Times New Roman" w:hAnsi="Times New Roman" w:eastAsia="Times New Roman" w:cs="Times New Roman"/>
          <w:strike/>
          <w:sz w:val="24"/>
          <w:szCs w:val="24"/>
        </w:rPr>
        <w:t xml:space="preserve">3.6.1    </w:t>
      </w:r>
      <w:r>
        <w:rPr>
          <w:rFonts w:ascii="宋体" w:hAnsi="宋体" w:eastAsia="宋体" w:cs="宋体"/>
          <w:strike/>
          <w:sz w:val="24"/>
          <w:szCs w:val="24"/>
        </w:rPr>
        <w:t>民用建筑工程中所使用的能释放氨的阻燃剂、混凝土</w:t>
      </w:r>
      <w:r>
        <w:rPr>
          <w:rFonts w:ascii="宋体" w:hAnsi="宋体" w:eastAsia="宋体" w:cs="宋体"/>
          <w:strike/>
          <w:spacing w:val="-1"/>
          <w:sz w:val="24"/>
          <w:szCs w:val="24"/>
        </w:rPr>
        <w:t>外加剂，氨的释放量不应</w:t>
      </w:r>
      <w:r>
        <w:rPr>
          <w:rFonts w:ascii="宋体" w:hAnsi="宋体" w:eastAsia="宋体" w:cs="宋体"/>
          <w:sz w:val="24"/>
          <w:szCs w:val="24"/>
        </w:rPr>
        <w:t xml:space="preserve">  </w:t>
      </w:r>
      <w:r>
        <w:rPr>
          <w:rFonts w:ascii="宋体" w:hAnsi="宋体" w:eastAsia="宋体" w:cs="宋体"/>
          <w:strike/>
          <w:sz w:val="24"/>
          <w:szCs w:val="24"/>
        </w:rPr>
        <w:t>大于</w:t>
      </w:r>
      <w:r>
        <w:rPr>
          <w:rFonts w:ascii="宋体" w:hAnsi="宋体" w:eastAsia="宋体" w:cs="宋体"/>
          <w:strike/>
          <w:spacing w:val="-51"/>
          <w:sz w:val="24"/>
          <w:szCs w:val="24"/>
        </w:rPr>
        <w:t xml:space="preserve"> </w:t>
      </w:r>
      <w:r>
        <w:rPr>
          <w:rFonts w:ascii="Times New Roman" w:hAnsi="Times New Roman" w:eastAsia="Times New Roman" w:cs="Times New Roman"/>
          <w:strike/>
          <w:sz w:val="24"/>
          <w:szCs w:val="24"/>
        </w:rPr>
        <w:t>0</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10%</w:t>
      </w:r>
      <w:r>
        <w:rPr>
          <w:rFonts w:ascii="宋体" w:hAnsi="宋体" w:eastAsia="宋体" w:cs="宋体"/>
          <w:strike/>
          <w:sz w:val="24"/>
          <w:szCs w:val="24"/>
        </w:rPr>
        <w:t>，测定方法应符合现行国家标</w:t>
      </w:r>
      <w:r>
        <w:rPr>
          <w:rFonts w:ascii="宋体" w:hAnsi="宋体" w:eastAsia="宋体" w:cs="宋体"/>
          <w:strike/>
          <w:spacing w:val="-1"/>
          <w:sz w:val="24"/>
          <w:szCs w:val="24"/>
        </w:rPr>
        <w:t>准《混凝土外加剂中释放氨的限量》</w:t>
      </w:r>
      <w:r>
        <w:rPr>
          <w:rFonts w:ascii="Times New Roman" w:hAnsi="Times New Roman" w:eastAsia="Times New Roman" w:cs="Times New Roman"/>
          <w:strike/>
          <w:spacing w:val="-1"/>
          <w:sz w:val="24"/>
          <w:szCs w:val="24"/>
        </w:rPr>
        <w:t>GB18588</w:t>
      </w:r>
      <w:r>
        <w:rPr>
          <w:rFonts w:ascii="Times New Roman" w:hAnsi="Times New Roman" w:eastAsia="Times New Roman" w:cs="Times New Roman"/>
          <w:sz w:val="24"/>
          <w:szCs w:val="24"/>
        </w:rPr>
        <w:t xml:space="preserve"> </w:t>
      </w:r>
      <w:r>
        <w:rPr>
          <w:rFonts w:ascii="宋体" w:hAnsi="宋体" w:eastAsia="宋体" w:cs="宋体"/>
          <w:strike/>
          <w:spacing w:val="-2"/>
          <w:sz w:val="24"/>
          <w:szCs w:val="24"/>
        </w:rPr>
        <w:t>的有关规定。</w:t>
      </w:r>
    </w:p>
    <w:p w14:paraId="7EE2ECB0">
      <w:pPr>
        <w:spacing w:before="156" w:line="308" w:lineRule="auto"/>
        <w:ind w:left="262" w:right="446" w:hanging="4"/>
        <w:rPr>
          <w:rFonts w:ascii="宋体" w:hAnsi="宋体" w:eastAsia="宋体" w:cs="宋体"/>
          <w:sz w:val="24"/>
          <w:szCs w:val="24"/>
        </w:rPr>
      </w:pPr>
      <w:r>
        <w:rPr>
          <w:rFonts w:ascii="Times New Roman" w:hAnsi="Times New Roman" w:eastAsia="Times New Roman" w:cs="Times New Roman"/>
          <w:strike/>
          <w:sz w:val="24"/>
          <w:szCs w:val="24"/>
        </w:rPr>
        <w:t xml:space="preserve">4.1.1    </w:t>
      </w:r>
      <w:r>
        <w:rPr>
          <w:rFonts w:ascii="宋体" w:hAnsi="宋体" w:eastAsia="宋体" w:cs="宋体"/>
          <w:strike/>
          <w:sz w:val="24"/>
          <w:szCs w:val="24"/>
        </w:rPr>
        <w:t>新建、扩建的民用建筑工程设计前，应进行建筑工程所在城市区域</w:t>
      </w:r>
      <w:r>
        <w:rPr>
          <w:rFonts w:ascii="宋体" w:hAnsi="宋体" w:eastAsia="宋体" w:cs="宋体"/>
          <w:strike/>
          <w:spacing w:val="-1"/>
          <w:sz w:val="24"/>
          <w:szCs w:val="24"/>
        </w:rPr>
        <w:t>土壤中氡浓</w:t>
      </w:r>
      <w:r>
        <w:rPr>
          <w:rFonts w:ascii="宋体" w:hAnsi="宋体" w:eastAsia="宋体" w:cs="宋体"/>
          <w:sz w:val="24"/>
          <w:szCs w:val="24"/>
        </w:rPr>
        <w:t xml:space="preserve"> </w:t>
      </w:r>
      <w:r>
        <w:rPr>
          <w:rFonts w:ascii="宋体" w:hAnsi="宋体" w:eastAsia="宋体" w:cs="宋体"/>
          <w:strike/>
          <w:sz w:val="24"/>
          <w:szCs w:val="24"/>
        </w:rPr>
        <w:t>度或土壤表面氡析出率调查，并提交相应的调查报告。未进行</w:t>
      </w:r>
      <w:r>
        <w:rPr>
          <w:rFonts w:ascii="宋体" w:hAnsi="宋体" w:eastAsia="宋体" w:cs="宋体"/>
          <w:strike/>
          <w:spacing w:val="-1"/>
          <w:sz w:val="24"/>
          <w:szCs w:val="24"/>
        </w:rPr>
        <w:t>过区域土壤中氡浓度或</w:t>
      </w:r>
      <w:r>
        <w:rPr>
          <w:rFonts w:ascii="宋体" w:hAnsi="宋体" w:eastAsia="宋体" w:cs="宋体"/>
          <w:sz w:val="24"/>
          <w:szCs w:val="24"/>
        </w:rPr>
        <w:t xml:space="preserve"> </w:t>
      </w:r>
      <w:r>
        <w:rPr>
          <w:rFonts w:ascii="宋体" w:hAnsi="宋体" w:eastAsia="宋体" w:cs="宋体"/>
          <w:strike/>
          <w:sz w:val="24"/>
          <w:szCs w:val="24"/>
        </w:rPr>
        <w:t>土壤表面氡析出率测定的，应进行建筑场地土壤中氡浓度或土</w:t>
      </w:r>
      <w:r>
        <w:rPr>
          <w:rFonts w:ascii="宋体" w:hAnsi="宋体" w:eastAsia="宋体" w:cs="宋体"/>
          <w:strike/>
          <w:spacing w:val="-1"/>
          <w:sz w:val="24"/>
          <w:szCs w:val="24"/>
        </w:rPr>
        <w:t>壤氡析出率测定，并提</w:t>
      </w:r>
      <w:r>
        <w:rPr>
          <w:rFonts w:ascii="宋体" w:hAnsi="宋体" w:eastAsia="宋体" w:cs="宋体"/>
          <w:sz w:val="24"/>
          <w:szCs w:val="24"/>
        </w:rPr>
        <w:t xml:space="preserve"> </w:t>
      </w:r>
      <w:r>
        <w:rPr>
          <w:rFonts w:ascii="宋体" w:hAnsi="宋体" w:eastAsia="宋体" w:cs="宋体"/>
          <w:strike/>
          <w:spacing w:val="-1"/>
          <w:sz w:val="24"/>
          <w:szCs w:val="24"/>
        </w:rPr>
        <w:t>供相应检测报告。</w:t>
      </w:r>
    </w:p>
    <w:p w14:paraId="29EE21B2">
      <w:pPr>
        <w:spacing w:before="156" w:line="212" w:lineRule="auto"/>
        <w:ind w:left="258"/>
        <w:rPr>
          <w:rFonts w:ascii="宋体" w:hAnsi="宋体" w:eastAsia="宋体" w:cs="宋体"/>
          <w:sz w:val="24"/>
          <w:szCs w:val="24"/>
        </w:rPr>
      </w:pPr>
      <w:r>
        <w:rPr>
          <w:rFonts w:ascii="Times New Roman" w:hAnsi="Times New Roman" w:eastAsia="Times New Roman" w:cs="Times New Roman"/>
          <w:strike/>
          <w:spacing w:val="-1"/>
          <w:sz w:val="24"/>
          <w:szCs w:val="24"/>
        </w:rPr>
        <w:t xml:space="preserve">4.2.4    </w:t>
      </w:r>
      <w:r>
        <w:rPr>
          <w:rFonts w:ascii="宋体" w:hAnsi="宋体" w:eastAsia="宋体" w:cs="宋体"/>
          <w:strike/>
          <w:spacing w:val="-1"/>
          <w:sz w:val="24"/>
          <w:szCs w:val="24"/>
        </w:rPr>
        <w:t>当民用建筑工程场地土壤氡浓度测定结果大于</w:t>
      </w:r>
      <w:r>
        <w:rPr>
          <w:rFonts w:ascii="宋体" w:hAnsi="宋体" w:eastAsia="宋体" w:cs="宋体"/>
          <w:strike/>
          <w:spacing w:val="-54"/>
          <w:sz w:val="24"/>
          <w:szCs w:val="24"/>
        </w:rPr>
        <w:t xml:space="preserve"> </w:t>
      </w:r>
      <w:r>
        <w:rPr>
          <w:rFonts w:ascii="Times New Roman" w:hAnsi="Times New Roman" w:eastAsia="Times New Roman" w:cs="Times New Roman"/>
          <w:strike/>
          <w:spacing w:val="-1"/>
          <w:sz w:val="24"/>
          <w:szCs w:val="24"/>
        </w:rPr>
        <w:t>20000Bq/m</w:t>
      </w:r>
      <w:r>
        <w:rPr>
          <w:rFonts w:ascii="Times New Roman" w:hAnsi="Times New Roman" w:eastAsia="Times New Roman" w:cs="Times New Roman"/>
          <w:strike/>
          <w:spacing w:val="-1"/>
          <w:position w:val="8"/>
          <w:sz w:val="15"/>
          <w:szCs w:val="15"/>
        </w:rPr>
        <w:t>3</w:t>
      </w:r>
      <w:r>
        <w:rPr>
          <w:rFonts w:ascii="Times New Roman" w:hAnsi="Times New Roman" w:eastAsia="Times New Roman" w:cs="Times New Roman"/>
          <w:strike/>
          <w:spacing w:val="-7"/>
          <w:position w:val="8"/>
          <w:sz w:val="15"/>
          <w:szCs w:val="15"/>
        </w:rPr>
        <w:t xml:space="preserve"> </w:t>
      </w:r>
      <w:r>
        <w:rPr>
          <w:rFonts w:ascii="宋体" w:hAnsi="宋体" w:eastAsia="宋体" w:cs="宋体"/>
          <w:strike/>
          <w:spacing w:val="-1"/>
          <w:sz w:val="24"/>
          <w:szCs w:val="24"/>
        </w:rPr>
        <w:t>，且小于</w:t>
      </w:r>
    </w:p>
    <w:p w14:paraId="7B0033DF">
      <w:pPr>
        <w:spacing w:before="165" w:line="279" w:lineRule="auto"/>
        <w:ind w:left="266" w:right="469" w:hanging="2"/>
        <w:rPr>
          <w:rFonts w:ascii="宋体" w:hAnsi="宋体" w:eastAsia="宋体" w:cs="宋体"/>
          <w:sz w:val="24"/>
          <w:szCs w:val="24"/>
        </w:rPr>
      </w:pPr>
      <w:r>
        <w:rPr>
          <w:rFonts w:ascii="Times New Roman" w:hAnsi="Times New Roman" w:eastAsia="Times New Roman" w:cs="Times New Roman"/>
          <w:strike/>
          <w:spacing w:val="-4"/>
          <w:sz w:val="24"/>
          <w:szCs w:val="24"/>
        </w:rPr>
        <w:t>30000Bq/m</w:t>
      </w:r>
      <w:r>
        <w:rPr>
          <w:rFonts w:ascii="Times New Roman" w:hAnsi="Times New Roman" w:eastAsia="Times New Roman" w:cs="Times New Roman"/>
          <w:strike/>
          <w:spacing w:val="-4"/>
          <w:position w:val="8"/>
          <w:sz w:val="15"/>
          <w:szCs w:val="15"/>
        </w:rPr>
        <w:t>3</w:t>
      </w:r>
      <w:r>
        <w:rPr>
          <w:rFonts w:ascii="宋体" w:hAnsi="宋体" w:eastAsia="宋体" w:cs="宋体"/>
          <w:strike/>
          <w:spacing w:val="-4"/>
          <w:sz w:val="24"/>
          <w:szCs w:val="24"/>
        </w:rPr>
        <w:t>，或土壤表面氡析出率大于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4"/>
          <w:sz w:val="24"/>
          <w:szCs w:val="24"/>
        </w:rPr>
        <w:t>0</w:t>
      </w:r>
      <w:r>
        <w:rPr>
          <w:rFonts w:ascii="Times New Roman" w:hAnsi="Times New Roman" w:eastAsia="Times New Roman" w:cs="Times New Roman"/>
          <w:spacing w:val="-4"/>
          <w:sz w:val="24"/>
          <w:szCs w:val="24"/>
        </w:rPr>
        <w:t>.</w:t>
      </w:r>
      <w:r>
        <w:rPr>
          <w:rFonts w:ascii="Times New Roman" w:hAnsi="Times New Roman" w:eastAsia="Times New Roman" w:cs="Times New Roman"/>
          <w:strike/>
          <w:spacing w:val="-4"/>
          <w:sz w:val="24"/>
          <w:szCs w:val="24"/>
        </w:rPr>
        <w:t>05Bq/(m</w:t>
      </w:r>
      <w:r>
        <w:rPr>
          <w:rFonts w:ascii="Times New Roman" w:hAnsi="Times New Roman" w:eastAsia="Times New Roman" w:cs="Times New Roman"/>
          <w:strike/>
          <w:spacing w:val="-4"/>
          <w:position w:val="8"/>
          <w:sz w:val="15"/>
          <w:szCs w:val="15"/>
        </w:rPr>
        <w:t>2</w:t>
      </w:r>
      <w:r>
        <w:rPr>
          <w:rFonts w:ascii="Times New Roman" w:hAnsi="Times New Roman" w:eastAsia="Times New Roman" w:cs="Times New Roman"/>
          <w:strike/>
          <w:spacing w:val="9"/>
          <w:position w:val="8"/>
          <w:sz w:val="15"/>
          <w:szCs w:val="15"/>
        </w:rPr>
        <w:t xml:space="preserve">  </w:t>
      </w:r>
      <w:r>
        <w:rPr>
          <w:rFonts w:ascii="宋体" w:hAnsi="宋体" w:eastAsia="宋体" w:cs="宋体"/>
          <w:strike/>
          <w:spacing w:val="-4"/>
          <w:sz w:val="24"/>
          <w:szCs w:val="24"/>
        </w:rPr>
        <w:t>·</w:t>
      </w:r>
      <w:r>
        <w:rPr>
          <w:rFonts w:ascii="Times New Roman" w:hAnsi="Times New Roman" w:eastAsia="Times New Roman" w:cs="Times New Roman"/>
          <w:strike/>
          <w:spacing w:val="-4"/>
          <w:sz w:val="24"/>
          <w:szCs w:val="24"/>
        </w:rPr>
        <w:t>s)</w:t>
      </w:r>
      <w:r>
        <w:rPr>
          <w:rFonts w:ascii="宋体" w:hAnsi="宋体" w:eastAsia="宋体" w:cs="宋体"/>
          <w:strike/>
          <w:spacing w:val="-4"/>
          <w:sz w:val="24"/>
          <w:szCs w:val="24"/>
        </w:rPr>
        <w:t>且小于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4"/>
          <w:sz w:val="24"/>
          <w:szCs w:val="24"/>
        </w:rPr>
        <w:t>0</w:t>
      </w:r>
      <w:r>
        <w:rPr>
          <w:rFonts w:ascii="Times New Roman" w:hAnsi="Times New Roman" w:eastAsia="Times New Roman" w:cs="Times New Roman"/>
          <w:spacing w:val="-4"/>
          <w:sz w:val="24"/>
          <w:szCs w:val="24"/>
        </w:rPr>
        <w:t>.</w:t>
      </w:r>
      <w:r>
        <w:rPr>
          <w:rFonts w:ascii="Times New Roman" w:hAnsi="Times New Roman" w:eastAsia="Times New Roman" w:cs="Times New Roman"/>
          <w:strike/>
          <w:spacing w:val="-4"/>
          <w:sz w:val="24"/>
          <w:szCs w:val="24"/>
        </w:rPr>
        <w:t>1B</w:t>
      </w:r>
      <w:r>
        <w:rPr>
          <w:rFonts w:ascii="Times New Roman" w:hAnsi="Times New Roman" w:eastAsia="Times New Roman" w:cs="Times New Roman"/>
          <w:strike/>
          <w:spacing w:val="-5"/>
          <w:sz w:val="24"/>
          <w:szCs w:val="24"/>
        </w:rPr>
        <w:t>q/(m2</w:t>
      </w:r>
      <w:r>
        <w:rPr>
          <w:rFonts w:ascii="Times New Roman" w:hAnsi="Times New Roman" w:eastAsia="Times New Roman" w:cs="Times New Roman"/>
          <w:strike/>
          <w:spacing w:val="32"/>
          <w:w w:val="101"/>
          <w:sz w:val="24"/>
          <w:szCs w:val="24"/>
        </w:rPr>
        <w:t xml:space="preserve"> </w:t>
      </w:r>
      <w:r>
        <w:rPr>
          <w:rFonts w:ascii="宋体" w:hAnsi="宋体" w:eastAsia="宋体" w:cs="宋体"/>
          <w:strike/>
          <w:spacing w:val="-5"/>
          <w:sz w:val="24"/>
          <w:szCs w:val="24"/>
        </w:rPr>
        <w:t>·</w:t>
      </w:r>
      <w:r>
        <w:rPr>
          <w:rFonts w:ascii="Times New Roman" w:hAnsi="Times New Roman" w:eastAsia="Times New Roman" w:cs="Times New Roman"/>
          <w:strike/>
          <w:spacing w:val="-5"/>
          <w:sz w:val="24"/>
          <w:szCs w:val="24"/>
        </w:rPr>
        <w:t>s)</w:t>
      </w:r>
      <w:r>
        <w:rPr>
          <w:rFonts w:ascii="宋体" w:hAnsi="宋体" w:eastAsia="宋体" w:cs="宋体"/>
          <w:strike/>
          <w:spacing w:val="-5"/>
          <w:sz w:val="24"/>
          <w:szCs w:val="24"/>
        </w:rPr>
        <w:t>时，应采</w:t>
      </w:r>
      <w:r>
        <w:rPr>
          <w:rFonts w:ascii="宋体" w:hAnsi="宋体" w:eastAsia="宋体" w:cs="宋体"/>
          <w:sz w:val="24"/>
          <w:szCs w:val="24"/>
        </w:rPr>
        <w:t xml:space="preserve"> </w:t>
      </w:r>
      <w:r>
        <w:rPr>
          <w:rFonts w:ascii="宋体" w:hAnsi="宋体" w:eastAsia="宋体" w:cs="宋体"/>
          <w:strike/>
          <w:spacing w:val="-1"/>
          <w:sz w:val="24"/>
          <w:szCs w:val="24"/>
        </w:rPr>
        <w:t>取建筑物底层地面抗开裂措施。</w:t>
      </w:r>
    </w:p>
    <w:p w14:paraId="4E2C535B">
      <w:pPr>
        <w:spacing w:before="154" w:line="212" w:lineRule="auto"/>
        <w:ind w:left="258"/>
        <w:rPr>
          <w:rFonts w:ascii="宋体" w:hAnsi="宋体" w:eastAsia="宋体" w:cs="宋体"/>
          <w:sz w:val="24"/>
          <w:szCs w:val="24"/>
        </w:rPr>
      </w:pPr>
      <w:r>
        <w:rPr>
          <w:rFonts w:ascii="Times New Roman" w:hAnsi="Times New Roman" w:eastAsia="Times New Roman" w:cs="Times New Roman"/>
          <w:strike/>
          <w:sz w:val="24"/>
          <w:szCs w:val="24"/>
        </w:rPr>
        <w:t xml:space="preserve">4.2.5    </w:t>
      </w:r>
      <w:r>
        <w:rPr>
          <w:rFonts w:ascii="宋体" w:hAnsi="宋体" w:eastAsia="宋体" w:cs="宋体"/>
          <w:strike/>
          <w:sz w:val="24"/>
          <w:szCs w:val="24"/>
        </w:rPr>
        <w:t>当民用建筑工程场地土壤氡</w:t>
      </w:r>
      <w:r>
        <w:rPr>
          <w:rFonts w:ascii="宋体" w:hAnsi="宋体" w:eastAsia="宋体" w:cs="宋体"/>
          <w:strike/>
          <w:spacing w:val="-1"/>
          <w:sz w:val="24"/>
          <w:szCs w:val="24"/>
        </w:rPr>
        <w:t>浓度测定结果大于或等于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30000Bq/m</w:t>
      </w:r>
      <w:r>
        <w:rPr>
          <w:rFonts w:ascii="Times New Roman" w:hAnsi="Times New Roman" w:eastAsia="Times New Roman" w:cs="Times New Roman"/>
          <w:strike/>
          <w:spacing w:val="-1"/>
          <w:position w:val="8"/>
          <w:sz w:val="15"/>
          <w:szCs w:val="15"/>
        </w:rPr>
        <w:t>3</w:t>
      </w:r>
      <w:r>
        <w:rPr>
          <w:rFonts w:ascii="宋体" w:hAnsi="宋体" w:eastAsia="宋体" w:cs="宋体"/>
          <w:strike/>
          <w:spacing w:val="-1"/>
          <w:sz w:val="24"/>
          <w:szCs w:val="24"/>
        </w:rPr>
        <w:t>，且小于</w:t>
      </w:r>
    </w:p>
    <w:p w14:paraId="4CEB74EC">
      <w:pPr>
        <w:spacing w:before="164" w:line="299" w:lineRule="auto"/>
        <w:ind w:left="268" w:right="380" w:hanging="3"/>
        <w:rPr>
          <w:rFonts w:ascii="宋体" w:hAnsi="宋体" w:eastAsia="宋体" w:cs="宋体"/>
          <w:sz w:val="24"/>
          <w:szCs w:val="24"/>
        </w:rPr>
      </w:pPr>
      <w:r>
        <w:rPr>
          <w:rFonts w:ascii="Times New Roman" w:hAnsi="Times New Roman" w:eastAsia="Times New Roman" w:cs="Times New Roman"/>
          <w:strike/>
          <w:spacing w:val="-4"/>
          <w:sz w:val="24"/>
          <w:szCs w:val="24"/>
        </w:rPr>
        <w:t>50000Bq/m</w:t>
      </w:r>
      <w:r>
        <w:rPr>
          <w:rFonts w:ascii="Times New Roman" w:hAnsi="Times New Roman" w:eastAsia="Times New Roman" w:cs="Times New Roman"/>
          <w:strike/>
          <w:spacing w:val="-4"/>
          <w:position w:val="8"/>
          <w:sz w:val="15"/>
          <w:szCs w:val="15"/>
        </w:rPr>
        <w:t>3</w:t>
      </w:r>
      <w:r>
        <w:rPr>
          <w:rFonts w:ascii="宋体" w:hAnsi="宋体" w:eastAsia="宋体" w:cs="宋体"/>
          <w:strike/>
          <w:spacing w:val="-4"/>
          <w:sz w:val="24"/>
          <w:szCs w:val="24"/>
        </w:rPr>
        <w:t>，或土壤表面氡析出率大于或等于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4"/>
          <w:sz w:val="24"/>
          <w:szCs w:val="24"/>
        </w:rPr>
        <w:t>0</w:t>
      </w:r>
      <w:r>
        <w:rPr>
          <w:rFonts w:ascii="Times New Roman" w:hAnsi="Times New Roman" w:eastAsia="Times New Roman" w:cs="Times New Roman"/>
          <w:spacing w:val="-4"/>
          <w:sz w:val="24"/>
          <w:szCs w:val="24"/>
        </w:rPr>
        <w:t>.</w:t>
      </w:r>
      <w:r>
        <w:rPr>
          <w:rFonts w:ascii="Times New Roman" w:hAnsi="Times New Roman" w:eastAsia="Times New Roman" w:cs="Times New Roman"/>
          <w:strike/>
          <w:spacing w:val="-4"/>
          <w:sz w:val="24"/>
          <w:szCs w:val="24"/>
        </w:rPr>
        <w:t>1Bq/(m</w:t>
      </w:r>
      <w:r>
        <w:rPr>
          <w:rFonts w:ascii="Times New Roman" w:hAnsi="Times New Roman" w:eastAsia="Times New Roman" w:cs="Times New Roman"/>
          <w:strike/>
          <w:spacing w:val="-4"/>
          <w:position w:val="8"/>
          <w:sz w:val="15"/>
          <w:szCs w:val="15"/>
        </w:rPr>
        <w:t>2</w:t>
      </w:r>
      <w:r>
        <w:rPr>
          <w:rFonts w:ascii="Times New Roman" w:hAnsi="Times New Roman" w:eastAsia="Times New Roman" w:cs="Times New Roman"/>
          <w:strike/>
          <w:spacing w:val="9"/>
          <w:position w:val="8"/>
          <w:sz w:val="15"/>
          <w:szCs w:val="15"/>
        </w:rPr>
        <w:t xml:space="preserve">  </w:t>
      </w:r>
      <w:r>
        <w:rPr>
          <w:rFonts w:ascii="宋体" w:hAnsi="宋体" w:eastAsia="宋体" w:cs="宋体"/>
          <w:strike/>
          <w:spacing w:val="-4"/>
          <w:sz w:val="24"/>
          <w:szCs w:val="24"/>
        </w:rPr>
        <w:t>·</w:t>
      </w:r>
      <w:r>
        <w:rPr>
          <w:rFonts w:ascii="Times New Roman" w:hAnsi="Times New Roman" w:eastAsia="Times New Roman" w:cs="Times New Roman"/>
          <w:strike/>
          <w:spacing w:val="-4"/>
          <w:sz w:val="24"/>
          <w:szCs w:val="24"/>
        </w:rPr>
        <w:t>s)</w:t>
      </w:r>
      <w:r>
        <w:rPr>
          <w:rFonts w:ascii="宋体" w:hAnsi="宋体" w:eastAsia="宋体" w:cs="宋体"/>
          <w:strike/>
          <w:spacing w:val="-4"/>
          <w:sz w:val="24"/>
          <w:szCs w:val="24"/>
        </w:rPr>
        <w:t>且小于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4"/>
          <w:sz w:val="24"/>
          <w:szCs w:val="24"/>
        </w:rPr>
        <w:t>0</w:t>
      </w:r>
      <w:r>
        <w:rPr>
          <w:rFonts w:ascii="Times New Roman" w:hAnsi="Times New Roman" w:eastAsia="Times New Roman" w:cs="Times New Roman"/>
          <w:spacing w:val="-4"/>
          <w:sz w:val="24"/>
          <w:szCs w:val="24"/>
        </w:rPr>
        <w:t>.</w:t>
      </w:r>
      <w:r>
        <w:rPr>
          <w:rFonts w:ascii="Times New Roman" w:hAnsi="Times New Roman" w:eastAsia="Times New Roman" w:cs="Times New Roman"/>
          <w:strike/>
          <w:spacing w:val="-4"/>
          <w:sz w:val="24"/>
          <w:szCs w:val="24"/>
        </w:rPr>
        <w:t>3Bq/(m</w:t>
      </w:r>
      <w:r>
        <w:rPr>
          <w:rFonts w:ascii="Times New Roman" w:hAnsi="Times New Roman" w:eastAsia="Times New Roman" w:cs="Times New Roman"/>
          <w:strike/>
          <w:spacing w:val="-4"/>
          <w:position w:val="8"/>
          <w:sz w:val="15"/>
          <w:szCs w:val="15"/>
        </w:rPr>
        <w:t>2</w:t>
      </w:r>
      <w:r>
        <w:rPr>
          <w:rFonts w:ascii="Times New Roman" w:hAnsi="Times New Roman" w:eastAsia="Times New Roman" w:cs="Times New Roman"/>
          <w:strike/>
          <w:spacing w:val="8"/>
          <w:position w:val="8"/>
          <w:sz w:val="15"/>
          <w:szCs w:val="15"/>
        </w:rPr>
        <w:t xml:space="preserve">  </w:t>
      </w:r>
      <w:r>
        <w:rPr>
          <w:rFonts w:ascii="宋体" w:hAnsi="宋体" w:eastAsia="宋体" w:cs="宋体"/>
          <w:strike/>
          <w:spacing w:val="-4"/>
          <w:sz w:val="24"/>
          <w:szCs w:val="24"/>
        </w:rPr>
        <w:t>·</w:t>
      </w:r>
      <w:r>
        <w:rPr>
          <w:rFonts w:ascii="Times New Roman" w:hAnsi="Times New Roman" w:eastAsia="Times New Roman" w:cs="Times New Roman"/>
          <w:strike/>
          <w:spacing w:val="-4"/>
          <w:sz w:val="24"/>
          <w:szCs w:val="24"/>
        </w:rPr>
        <w:t>s)</w:t>
      </w:r>
      <w:r>
        <w:rPr>
          <w:rFonts w:ascii="宋体" w:hAnsi="宋体" w:eastAsia="宋体" w:cs="宋体"/>
          <w:strike/>
          <w:spacing w:val="-4"/>
          <w:sz w:val="24"/>
          <w:szCs w:val="24"/>
        </w:rPr>
        <w:t>时，</w:t>
      </w:r>
      <w:r>
        <w:rPr>
          <w:rFonts w:ascii="宋体" w:hAnsi="宋体" w:eastAsia="宋体" w:cs="宋体"/>
          <w:spacing w:val="1"/>
          <w:sz w:val="24"/>
          <w:szCs w:val="24"/>
        </w:rPr>
        <w:t xml:space="preserve"> </w:t>
      </w:r>
      <w:r>
        <w:rPr>
          <w:rFonts w:ascii="宋体" w:hAnsi="宋体" w:eastAsia="宋体" w:cs="宋体"/>
          <w:strike/>
          <w:sz w:val="24"/>
          <w:szCs w:val="24"/>
        </w:rPr>
        <w:t>除采取建筑物底层地面抗开裂措施外，还必须</w:t>
      </w:r>
      <w:r>
        <w:rPr>
          <w:rFonts w:ascii="宋体" w:hAnsi="宋体" w:eastAsia="宋体" w:cs="宋体"/>
          <w:strike/>
          <w:spacing w:val="-1"/>
          <w:sz w:val="24"/>
          <w:szCs w:val="24"/>
        </w:rPr>
        <w:t>按现行国家标准《地下工程防水技术规</w:t>
      </w:r>
      <w:r>
        <w:rPr>
          <w:rFonts w:ascii="宋体" w:hAnsi="宋体" w:eastAsia="宋体" w:cs="宋体"/>
          <w:sz w:val="24"/>
          <w:szCs w:val="24"/>
        </w:rPr>
        <w:t xml:space="preserve"> </w:t>
      </w:r>
      <w:r>
        <w:rPr>
          <w:rFonts w:ascii="宋体" w:hAnsi="宋体" w:eastAsia="宋体" w:cs="宋体"/>
          <w:strike/>
          <w:spacing w:val="-2"/>
          <w:sz w:val="24"/>
          <w:szCs w:val="24"/>
        </w:rPr>
        <w:t>范》</w:t>
      </w:r>
      <w:r>
        <w:rPr>
          <w:rFonts w:ascii="Times New Roman" w:hAnsi="Times New Roman" w:eastAsia="Times New Roman" w:cs="Times New Roman"/>
          <w:strike/>
          <w:spacing w:val="-2"/>
          <w:sz w:val="24"/>
          <w:szCs w:val="24"/>
        </w:rPr>
        <w:t>GB50108</w:t>
      </w:r>
      <w:r>
        <w:rPr>
          <w:rFonts w:ascii="Times New Roman" w:hAnsi="Times New Roman" w:eastAsia="Times New Roman" w:cs="Times New Roman"/>
          <w:strike/>
          <w:spacing w:val="36"/>
          <w:sz w:val="24"/>
          <w:szCs w:val="24"/>
        </w:rPr>
        <w:t xml:space="preserve"> </w:t>
      </w:r>
      <w:r>
        <w:rPr>
          <w:rFonts w:ascii="宋体" w:hAnsi="宋体" w:eastAsia="宋体" w:cs="宋体"/>
          <w:strike/>
          <w:spacing w:val="-2"/>
          <w:sz w:val="24"/>
          <w:szCs w:val="24"/>
        </w:rPr>
        <w:t>中的</w:t>
      </w:r>
      <w:r>
        <w:rPr>
          <w:rFonts w:ascii="宋体" w:hAnsi="宋体" w:eastAsia="宋体" w:cs="宋体"/>
          <w:spacing w:val="-2"/>
          <w:sz w:val="24"/>
          <w:szCs w:val="24"/>
        </w:rPr>
        <w:t>一</w:t>
      </w:r>
      <w:r>
        <w:rPr>
          <w:rFonts w:ascii="宋体" w:hAnsi="宋体" w:eastAsia="宋体" w:cs="宋体"/>
          <w:strike/>
          <w:spacing w:val="-2"/>
          <w:sz w:val="24"/>
          <w:szCs w:val="24"/>
        </w:rPr>
        <w:t>级防水要求，对基础进行处理。</w:t>
      </w:r>
    </w:p>
    <w:p w14:paraId="6E18320B">
      <w:pPr>
        <w:spacing w:line="299" w:lineRule="auto"/>
        <w:rPr>
          <w:rFonts w:ascii="宋体" w:hAnsi="宋体" w:eastAsia="宋体" w:cs="宋体"/>
          <w:sz w:val="24"/>
          <w:szCs w:val="24"/>
        </w:rPr>
        <w:sectPr>
          <w:footerReference r:id="rId44" w:type="default"/>
          <w:pgSz w:w="11907" w:h="16839"/>
          <w:pgMar w:top="400" w:right="1162" w:bottom="743" w:left="1162" w:header="0" w:footer="582" w:gutter="0"/>
          <w:cols w:space="720" w:num="1"/>
        </w:sectPr>
      </w:pPr>
    </w:p>
    <w:p w14:paraId="0EB6D561">
      <w:pPr>
        <w:pStyle w:val="2"/>
        <w:spacing w:line="303" w:lineRule="auto"/>
      </w:pPr>
    </w:p>
    <w:p w14:paraId="321FD1B6">
      <w:pPr>
        <w:pStyle w:val="2"/>
        <w:spacing w:line="303" w:lineRule="auto"/>
      </w:pPr>
    </w:p>
    <w:p w14:paraId="5B01C3E0">
      <w:pPr>
        <w:pStyle w:val="2"/>
        <w:spacing w:line="304" w:lineRule="auto"/>
      </w:pPr>
    </w:p>
    <w:p w14:paraId="4A9D6B90">
      <w:pPr>
        <w:spacing w:before="78" w:line="275" w:lineRule="auto"/>
        <w:ind w:left="105" w:right="175" w:hanging="6"/>
        <w:rPr>
          <w:rFonts w:ascii="宋体" w:hAnsi="宋体" w:eastAsia="宋体" w:cs="宋体"/>
          <w:sz w:val="24"/>
          <w:szCs w:val="24"/>
        </w:rPr>
      </w:pPr>
      <w:r>
        <w:rPr>
          <w:rFonts w:ascii="Times New Roman" w:hAnsi="Times New Roman" w:eastAsia="Times New Roman" w:cs="Times New Roman"/>
          <w:strike/>
          <w:sz w:val="24"/>
          <w:szCs w:val="24"/>
        </w:rPr>
        <w:t xml:space="preserve">4.2.6    </w:t>
      </w:r>
      <w:r>
        <w:rPr>
          <w:rFonts w:ascii="宋体" w:hAnsi="宋体" w:eastAsia="宋体" w:cs="宋体"/>
          <w:strike/>
          <w:sz w:val="24"/>
          <w:szCs w:val="24"/>
        </w:rPr>
        <w:t>当民用建筑工程场地土壤氡浓度</w:t>
      </w:r>
      <w:r>
        <w:rPr>
          <w:rFonts w:ascii="宋体" w:hAnsi="宋体" w:eastAsia="宋体" w:cs="宋体"/>
          <w:strike/>
          <w:spacing w:val="-1"/>
          <w:sz w:val="24"/>
          <w:szCs w:val="24"/>
        </w:rPr>
        <w:t>大于或等于</w:t>
      </w:r>
      <w:r>
        <w:rPr>
          <w:rFonts w:ascii="宋体" w:hAnsi="宋体" w:eastAsia="宋体" w:cs="宋体"/>
          <w:strike/>
          <w:spacing w:val="-48"/>
          <w:sz w:val="24"/>
          <w:szCs w:val="24"/>
        </w:rPr>
        <w:t xml:space="preserve"> </w:t>
      </w:r>
      <w:r>
        <w:rPr>
          <w:rFonts w:ascii="Times New Roman" w:hAnsi="Times New Roman" w:eastAsia="Times New Roman" w:cs="Times New Roman"/>
          <w:strike/>
          <w:spacing w:val="-1"/>
          <w:sz w:val="24"/>
          <w:szCs w:val="24"/>
        </w:rPr>
        <w:t>50000Bq/m</w:t>
      </w:r>
      <w:r>
        <w:rPr>
          <w:rFonts w:ascii="Times New Roman" w:hAnsi="Times New Roman" w:eastAsia="Times New Roman" w:cs="Times New Roman"/>
          <w:strike/>
          <w:spacing w:val="-1"/>
          <w:position w:val="8"/>
          <w:sz w:val="15"/>
          <w:szCs w:val="15"/>
        </w:rPr>
        <w:t>3</w:t>
      </w:r>
      <w:r>
        <w:rPr>
          <w:rFonts w:ascii="Times New Roman" w:hAnsi="Times New Roman" w:eastAsia="Times New Roman" w:cs="Times New Roman"/>
          <w:strike/>
          <w:spacing w:val="15"/>
          <w:position w:val="8"/>
          <w:sz w:val="15"/>
          <w:szCs w:val="15"/>
        </w:rPr>
        <w:t xml:space="preserve"> </w:t>
      </w:r>
      <w:r>
        <w:rPr>
          <w:rFonts w:ascii="宋体" w:hAnsi="宋体" w:eastAsia="宋体" w:cs="宋体"/>
          <w:strike/>
          <w:spacing w:val="-1"/>
          <w:sz w:val="24"/>
          <w:szCs w:val="24"/>
        </w:rPr>
        <w:t>或土壤表面氡析出率平</w:t>
      </w:r>
      <w:r>
        <w:rPr>
          <w:rFonts w:ascii="宋体" w:hAnsi="宋体" w:eastAsia="宋体" w:cs="宋体"/>
          <w:sz w:val="24"/>
          <w:szCs w:val="24"/>
        </w:rPr>
        <w:t xml:space="preserve"> </w:t>
      </w:r>
      <w:r>
        <w:rPr>
          <w:rFonts w:ascii="宋体" w:hAnsi="宋体" w:eastAsia="宋体" w:cs="宋体"/>
          <w:strike/>
          <w:spacing w:val="-3"/>
          <w:sz w:val="24"/>
          <w:szCs w:val="24"/>
        </w:rPr>
        <w:t>均值大于或等于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3"/>
          <w:sz w:val="24"/>
          <w:szCs w:val="24"/>
        </w:rPr>
        <w:t>0</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3Bq/(m</w:t>
      </w:r>
      <w:r>
        <w:rPr>
          <w:rFonts w:ascii="Times New Roman" w:hAnsi="Times New Roman" w:eastAsia="Times New Roman" w:cs="Times New Roman"/>
          <w:strike/>
          <w:spacing w:val="-3"/>
          <w:position w:val="8"/>
          <w:sz w:val="15"/>
          <w:szCs w:val="15"/>
        </w:rPr>
        <w:t>2</w:t>
      </w:r>
      <w:r>
        <w:rPr>
          <w:rFonts w:ascii="Times New Roman" w:hAnsi="Times New Roman" w:eastAsia="Times New Roman" w:cs="Times New Roman"/>
          <w:strike/>
          <w:spacing w:val="9"/>
          <w:position w:val="8"/>
          <w:sz w:val="15"/>
          <w:szCs w:val="15"/>
        </w:rPr>
        <w:t xml:space="preserve">  </w:t>
      </w:r>
      <w:r>
        <w:rPr>
          <w:rFonts w:ascii="宋体" w:hAnsi="宋体" w:eastAsia="宋体" w:cs="宋体"/>
          <w:strike/>
          <w:spacing w:val="-3"/>
          <w:sz w:val="24"/>
          <w:szCs w:val="24"/>
        </w:rPr>
        <w:t>·</w:t>
      </w:r>
      <w:r>
        <w:rPr>
          <w:rFonts w:ascii="Times New Roman" w:hAnsi="Times New Roman" w:eastAsia="Times New Roman" w:cs="Times New Roman"/>
          <w:strike/>
          <w:spacing w:val="-3"/>
          <w:sz w:val="24"/>
          <w:szCs w:val="24"/>
        </w:rPr>
        <w:t>s)</w:t>
      </w:r>
      <w:r>
        <w:rPr>
          <w:rFonts w:ascii="宋体" w:hAnsi="宋体" w:eastAsia="宋体" w:cs="宋体"/>
          <w:strike/>
          <w:spacing w:val="-3"/>
          <w:sz w:val="24"/>
          <w:szCs w:val="24"/>
        </w:rPr>
        <w:t>时，应采取建筑物综</w:t>
      </w:r>
      <w:r>
        <w:rPr>
          <w:rFonts w:ascii="宋体" w:hAnsi="宋体" w:eastAsia="宋体" w:cs="宋体"/>
          <w:strike/>
          <w:spacing w:val="-4"/>
          <w:sz w:val="24"/>
          <w:szCs w:val="24"/>
        </w:rPr>
        <w:t>合防氡措施。</w:t>
      </w:r>
    </w:p>
    <w:p w14:paraId="2C5AF368">
      <w:pPr>
        <w:spacing w:before="163" w:line="219" w:lineRule="auto"/>
        <w:ind w:left="99"/>
        <w:rPr>
          <w:rFonts w:ascii="宋体" w:hAnsi="宋体" w:eastAsia="宋体" w:cs="宋体"/>
          <w:sz w:val="24"/>
          <w:szCs w:val="24"/>
        </w:rPr>
      </w:pPr>
      <w:r>
        <w:rPr>
          <w:rFonts w:ascii="Times New Roman" w:hAnsi="Times New Roman" w:eastAsia="Times New Roman" w:cs="Times New Roman"/>
          <w:strike/>
          <w:sz w:val="24"/>
          <w:szCs w:val="24"/>
        </w:rPr>
        <w:t xml:space="preserve">4.3.1    </w:t>
      </w:r>
      <w:r>
        <w:rPr>
          <w:rFonts w:ascii="宋体" w:hAnsi="宋体" w:eastAsia="宋体" w:cs="宋体"/>
          <w:strike/>
          <w:sz w:val="24"/>
          <w:szCs w:val="24"/>
        </w:rPr>
        <w:t>民用建筑工程室内不得使用国家禁止使用、限制使用的建</w:t>
      </w:r>
      <w:r>
        <w:rPr>
          <w:rFonts w:ascii="宋体" w:hAnsi="宋体" w:eastAsia="宋体" w:cs="宋体"/>
          <w:strike/>
          <w:spacing w:val="-1"/>
          <w:sz w:val="24"/>
          <w:szCs w:val="24"/>
        </w:rPr>
        <w:t>筑材料。</w:t>
      </w:r>
    </w:p>
    <w:p w14:paraId="0E181194">
      <w:pPr>
        <w:spacing w:before="155" w:line="219" w:lineRule="auto"/>
        <w:ind w:left="102"/>
        <w:rPr>
          <w:rFonts w:ascii="宋体" w:hAnsi="宋体" w:eastAsia="宋体" w:cs="宋体"/>
          <w:sz w:val="24"/>
          <w:szCs w:val="24"/>
        </w:rPr>
      </w:pPr>
      <w:r>
        <w:rPr>
          <w:rFonts w:ascii="Times New Roman" w:hAnsi="Times New Roman" w:eastAsia="Times New Roman" w:cs="Times New Roman"/>
          <w:b/>
          <w:bCs/>
          <w:color w:val="4472C4"/>
          <w:spacing w:val="-3"/>
          <w:sz w:val="24"/>
          <w:szCs w:val="24"/>
        </w:rPr>
        <w:t xml:space="preserve">4.3.2     </w:t>
      </w:r>
      <w:r>
        <w:rPr>
          <w:rFonts w:ascii="宋体" w:hAnsi="宋体" w:eastAsia="宋体" w:cs="宋体"/>
          <w:b/>
          <w:bCs/>
          <w:color w:val="4472C4"/>
          <w:spacing w:val="-3"/>
          <w:sz w:val="24"/>
          <w:szCs w:val="24"/>
        </w:rPr>
        <w:t>Ⅰ类民用建筑工程室内装修采用的无机非金属装修材料</w:t>
      </w:r>
      <w:r>
        <w:rPr>
          <w:rFonts w:ascii="宋体" w:hAnsi="宋体" w:eastAsia="宋体" w:cs="宋体"/>
          <w:b/>
          <w:bCs/>
          <w:color w:val="4472C4"/>
          <w:spacing w:val="-4"/>
          <w:sz w:val="24"/>
          <w:szCs w:val="24"/>
        </w:rPr>
        <w:t>必须为</w:t>
      </w:r>
      <w:r>
        <w:rPr>
          <w:rFonts w:ascii="宋体" w:hAnsi="宋体" w:eastAsia="宋体" w:cs="宋体"/>
          <w:color w:val="4472C4"/>
          <w:spacing w:val="-57"/>
          <w:sz w:val="24"/>
          <w:szCs w:val="24"/>
        </w:rPr>
        <w:t xml:space="preserve"> </w:t>
      </w:r>
      <w:r>
        <w:rPr>
          <w:rFonts w:ascii="Times New Roman" w:hAnsi="Times New Roman" w:eastAsia="Times New Roman" w:cs="Times New Roman"/>
          <w:b/>
          <w:bCs/>
          <w:color w:val="4472C4"/>
          <w:spacing w:val="-4"/>
          <w:sz w:val="24"/>
          <w:szCs w:val="24"/>
        </w:rPr>
        <w:t xml:space="preserve">A </w:t>
      </w:r>
      <w:r>
        <w:rPr>
          <w:rFonts w:ascii="宋体" w:hAnsi="宋体" w:eastAsia="宋体" w:cs="宋体"/>
          <w:b/>
          <w:bCs/>
          <w:color w:val="4472C4"/>
          <w:spacing w:val="-4"/>
          <w:sz w:val="24"/>
          <w:szCs w:val="24"/>
        </w:rPr>
        <w:t>类。</w:t>
      </w:r>
    </w:p>
    <w:p w14:paraId="3CFBA403">
      <w:pPr>
        <w:spacing w:before="157" w:line="279" w:lineRule="auto"/>
        <w:ind w:left="108" w:right="397" w:hanging="7"/>
        <w:rPr>
          <w:rFonts w:ascii="宋体" w:hAnsi="宋体" w:eastAsia="宋体" w:cs="宋体"/>
          <w:sz w:val="24"/>
          <w:szCs w:val="24"/>
        </w:rPr>
      </w:pPr>
      <w:r>
        <w:rPr>
          <w:rFonts w:ascii="Times New Roman" w:hAnsi="Times New Roman" w:eastAsia="Times New Roman" w:cs="Times New Roman"/>
          <w:b/>
          <w:bCs/>
          <w:color w:val="4472C4"/>
          <w:spacing w:val="-3"/>
          <w:sz w:val="24"/>
          <w:szCs w:val="24"/>
        </w:rPr>
        <w:t xml:space="preserve">4.3.4     </w:t>
      </w:r>
      <w:r>
        <w:rPr>
          <w:rFonts w:ascii="宋体" w:hAnsi="宋体" w:eastAsia="宋体" w:cs="宋体"/>
          <w:b/>
          <w:bCs/>
          <w:color w:val="4472C4"/>
          <w:spacing w:val="-3"/>
          <w:sz w:val="24"/>
          <w:szCs w:val="24"/>
        </w:rPr>
        <w:t>Ⅰ类民用建筑工程的室内装修，采用的人造木板及饰面人造木板必须达到</w:t>
      </w:r>
      <w:r>
        <w:rPr>
          <w:rFonts w:ascii="宋体" w:hAnsi="宋体" w:eastAsia="宋体" w:cs="宋体"/>
          <w:color w:val="4472C4"/>
          <w:spacing w:val="-45"/>
          <w:sz w:val="24"/>
          <w:szCs w:val="24"/>
        </w:rPr>
        <w:t xml:space="preserve"> </w:t>
      </w:r>
      <w:r>
        <w:rPr>
          <w:rFonts w:ascii="Times New Roman" w:hAnsi="Times New Roman" w:eastAsia="Times New Roman" w:cs="Times New Roman"/>
          <w:b/>
          <w:bCs/>
          <w:color w:val="4472C4"/>
          <w:spacing w:val="-3"/>
          <w:sz w:val="24"/>
          <w:szCs w:val="24"/>
        </w:rPr>
        <w:t>E1</w:t>
      </w:r>
      <w:r>
        <w:rPr>
          <w:rFonts w:ascii="Times New Roman" w:hAnsi="Times New Roman" w:eastAsia="Times New Roman" w:cs="Times New Roman"/>
          <w:b/>
          <w:bCs/>
          <w:color w:val="4472C4"/>
          <w:sz w:val="24"/>
          <w:szCs w:val="24"/>
        </w:rPr>
        <w:t xml:space="preserve">  </w:t>
      </w:r>
      <w:r>
        <w:rPr>
          <w:rFonts w:ascii="宋体" w:hAnsi="宋体" w:eastAsia="宋体" w:cs="宋体"/>
          <w:b/>
          <w:bCs/>
          <w:color w:val="4472C4"/>
          <w:spacing w:val="-11"/>
          <w:sz w:val="24"/>
          <w:szCs w:val="24"/>
        </w:rPr>
        <w:t>级要求。</w:t>
      </w:r>
    </w:p>
    <w:p w14:paraId="6C03F6B7">
      <w:pPr>
        <w:spacing w:before="152" w:line="279" w:lineRule="auto"/>
        <w:ind w:left="104" w:right="265" w:hanging="3"/>
        <w:rPr>
          <w:rFonts w:ascii="宋体" w:hAnsi="宋体" w:eastAsia="宋体" w:cs="宋体"/>
          <w:sz w:val="24"/>
          <w:szCs w:val="24"/>
        </w:rPr>
      </w:pPr>
      <w:r>
        <w:rPr>
          <w:rFonts w:ascii="Times New Roman" w:hAnsi="Times New Roman" w:eastAsia="Times New Roman" w:cs="Times New Roman"/>
          <w:b/>
          <w:bCs/>
          <w:color w:val="4472C4"/>
          <w:spacing w:val="-2"/>
          <w:sz w:val="24"/>
          <w:szCs w:val="24"/>
        </w:rPr>
        <w:t xml:space="preserve">4.3.9    </w:t>
      </w:r>
      <w:r>
        <w:rPr>
          <w:rFonts w:ascii="宋体" w:hAnsi="宋体" w:eastAsia="宋体" w:cs="宋体"/>
          <w:b/>
          <w:bCs/>
          <w:color w:val="4472C4"/>
          <w:spacing w:val="-2"/>
          <w:sz w:val="24"/>
          <w:szCs w:val="24"/>
        </w:rPr>
        <w:t>民用建筑工程室内装修中所使用的木地板及其他木质材料，严禁采用沥青、煤</w:t>
      </w:r>
      <w:r>
        <w:rPr>
          <w:rFonts w:ascii="宋体" w:hAnsi="宋体" w:eastAsia="宋体" w:cs="宋体"/>
          <w:color w:val="4472C4"/>
          <w:spacing w:val="16"/>
          <w:sz w:val="24"/>
          <w:szCs w:val="24"/>
        </w:rPr>
        <w:t xml:space="preserve"> </w:t>
      </w:r>
      <w:r>
        <w:rPr>
          <w:rFonts w:ascii="宋体" w:hAnsi="宋体" w:eastAsia="宋体" w:cs="宋体"/>
          <w:b/>
          <w:bCs/>
          <w:color w:val="4472C4"/>
          <w:spacing w:val="-5"/>
          <w:sz w:val="24"/>
          <w:szCs w:val="24"/>
        </w:rPr>
        <w:t>焦油类防腐、防潮处理剂。</w:t>
      </w:r>
    </w:p>
    <w:p w14:paraId="1EA51CE4">
      <w:pPr>
        <w:spacing w:before="155" w:line="279" w:lineRule="auto"/>
        <w:ind w:left="106" w:right="309" w:hanging="2"/>
        <w:rPr>
          <w:rFonts w:ascii="宋体" w:hAnsi="宋体" w:eastAsia="宋体" w:cs="宋体"/>
          <w:sz w:val="24"/>
          <w:szCs w:val="24"/>
        </w:rPr>
      </w:pPr>
      <w:r>
        <w:rPr>
          <w:rFonts w:ascii="Times New Roman" w:hAnsi="Times New Roman" w:eastAsia="Times New Roman" w:cs="Times New Roman"/>
          <w:b/>
          <w:bCs/>
          <w:color w:val="4472C4"/>
          <w:spacing w:val="-3"/>
          <w:sz w:val="24"/>
          <w:szCs w:val="24"/>
        </w:rPr>
        <w:t xml:space="preserve">5.1.2    </w:t>
      </w:r>
      <w:r>
        <w:rPr>
          <w:rFonts w:ascii="宋体" w:hAnsi="宋体" w:eastAsia="宋体" w:cs="宋体"/>
          <w:b/>
          <w:bCs/>
          <w:color w:val="4472C4"/>
          <w:spacing w:val="-3"/>
          <w:sz w:val="24"/>
          <w:szCs w:val="24"/>
        </w:rPr>
        <w:t>当建筑材料和装修材料进场检验，发现不符合设计要求及本规范的有关规定，</w:t>
      </w:r>
      <w:r>
        <w:rPr>
          <w:rFonts w:ascii="宋体" w:hAnsi="宋体" w:eastAsia="宋体" w:cs="宋体"/>
          <w:color w:val="4472C4"/>
          <w:spacing w:val="13"/>
          <w:sz w:val="24"/>
          <w:szCs w:val="24"/>
        </w:rPr>
        <w:t xml:space="preserve"> </w:t>
      </w:r>
      <w:r>
        <w:rPr>
          <w:rFonts w:ascii="宋体" w:hAnsi="宋体" w:eastAsia="宋体" w:cs="宋体"/>
          <w:b/>
          <w:bCs/>
          <w:color w:val="4472C4"/>
          <w:spacing w:val="-9"/>
          <w:sz w:val="24"/>
          <w:szCs w:val="24"/>
        </w:rPr>
        <w:t>严禁使用。</w:t>
      </w:r>
    </w:p>
    <w:p w14:paraId="456BD744">
      <w:pPr>
        <w:spacing w:before="155" w:line="278" w:lineRule="auto"/>
        <w:ind w:left="106" w:right="288" w:firstLine="1"/>
        <w:rPr>
          <w:rFonts w:ascii="宋体" w:hAnsi="宋体" w:eastAsia="宋体" w:cs="宋体"/>
          <w:sz w:val="24"/>
          <w:szCs w:val="24"/>
        </w:rPr>
      </w:pPr>
      <w:r>
        <w:rPr>
          <w:rFonts w:ascii="Times New Roman" w:hAnsi="Times New Roman" w:eastAsia="Times New Roman" w:cs="Times New Roman"/>
          <w:strike/>
          <w:sz w:val="24"/>
          <w:szCs w:val="24"/>
        </w:rPr>
        <w:t xml:space="preserve">5.2.1    </w:t>
      </w:r>
      <w:r>
        <w:rPr>
          <w:rFonts w:ascii="宋体" w:hAnsi="宋体" w:eastAsia="宋体" w:cs="宋体"/>
          <w:strike/>
          <w:sz w:val="24"/>
          <w:szCs w:val="24"/>
        </w:rPr>
        <w:t>民用建筑工程中所采用的无机非金属建筑材料和</w:t>
      </w:r>
      <w:r>
        <w:rPr>
          <w:rFonts w:ascii="宋体" w:hAnsi="宋体" w:eastAsia="宋体" w:cs="宋体"/>
          <w:strike/>
          <w:spacing w:val="-1"/>
          <w:sz w:val="24"/>
          <w:szCs w:val="24"/>
        </w:rPr>
        <w:t>装修材料必须有放射性指标检</w:t>
      </w:r>
      <w:r>
        <w:rPr>
          <w:rFonts w:ascii="宋体" w:hAnsi="宋体" w:eastAsia="宋体" w:cs="宋体"/>
          <w:sz w:val="24"/>
          <w:szCs w:val="24"/>
        </w:rPr>
        <w:t xml:space="preserve"> </w:t>
      </w:r>
      <w:r>
        <w:rPr>
          <w:rFonts w:ascii="宋体" w:hAnsi="宋体" w:eastAsia="宋体" w:cs="宋体"/>
          <w:strike/>
          <w:spacing w:val="-1"/>
          <w:sz w:val="24"/>
          <w:szCs w:val="24"/>
        </w:rPr>
        <w:t>测报告，并应符合设计要求和本规范的有关规定。</w:t>
      </w:r>
    </w:p>
    <w:p w14:paraId="5FEBF4A9">
      <w:pPr>
        <w:spacing w:before="158" w:line="278" w:lineRule="auto"/>
        <w:ind w:left="105" w:right="288" w:firstLine="2"/>
        <w:rPr>
          <w:rFonts w:ascii="宋体" w:hAnsi="宋体" w:eastAsia="宋体" w:cs="宋体"/>
          <w:sz w:val="24"/>
          <w:szCs w:val="24"/>
        </w:rPr>
      </w:pPr>
      <w:r>
        <w:rPr>
          <w:rFonts w:ascii="Times New Roman" w:hAnsi="Times New Roman" w:eastAsia="Times New Roman" w:cs="Times New Roman"/>
          <w:strike/>
          <w:sz w:val="24"/>
          <w:szCs w:val="24"/>
        </w:rPr>
        <w:t xml:space="preserve">5.2.3    </w:t>
      </w:r>
      <w:r>
        <w:rPr>
          <w:rFonts w:ascii="宋体" w:hAnsi="宋体" w:eastAsia="宋体" w:cs="宋体"/>
          <w:strike/>
          <w:sz w:val="24"/>
          <w:szCs w:val="24"/>
        </w:rPr>
        <w:t>民用建筑工程室内装修中所采用的人造木板及饰</w:t>
      </w:r>
      <w:r>
        <w:rPr>
          <w:rFonts w:ascii="宋体" w:hAnsi="宋体" w:eastAsia="宋体" w:cs="宋体"/>
          <w:strike/>
          <w:spacing w:val="-1"/>
          <w:sz w:val="24"/>
          <w:szCs w:val="24"/>
        </w:rPr>
        <w:t>面人造木板，必须有游离甲醛</w:t>
      </w:r>
      <w:r>
        <w:rPr>
          <w:rFonts w:ascii="宋体" w:hAnsi="宋体" w:eastAsia="宋体" w:cs="宋体"/>
          <w:sz w:val="24"/>
          <w:szCs w:val="24"/>
        </w:rPr>
        <w:t xml:space="preserve"> </w:t>
      </w:r>
      <w:r>
        <w:rPr>
          <w:rFonts w:ascii="宋体" w:hAnsi="宋体" w:eastAsia="宋体" w:cs="宋体"/>
          <w:strike/>
          <w:sz w:val="24"/>
          <w:szCs w:val="24"/>
        </w:rPr>
        <w:t>含量或游离甲醛释放量检测报告，并应符合设计要</w:t>
      </w:r>
      <w:r>
        <w:rPr>
          <w:rFonts w:ascii="宋体" w:hAnsi="宋体" w:eastAsia="宋体" w:cs="宋体"/>
          <w:strike/>
          <w:spacing w:val="-1"/>
          <w:sz w:val="24"/>
          <w:szCs w:val="24"/>
        </w:rPr>
        <w:t>求和本规范的有关规定。</w:t>
      </w:r>
    </w:p>
    <w:p w14:paraId="5D8E4827">
      <w:pPr>
        <w:spacing w:before="158" w:line="308" w:lineRule="auto"/>
        <w:ind w:left="106" w:right="272" w:firstLine="1"/>
        <w:rPr>
          <w:rFonts w:ascii="宋体" w:hAnsi="宋体" w:eastAsia="宋体" w:cs="宋体"/>
          <w:sz w:val="24"/>
          <w:szCs w:val="24"/>
        </w:rPr>
      </w:pPr>
      <w:r>
        <w:rPr>
          <w:rFonts w:ascii="Times New Roman" w:hAnsi="Times New Roman" w:eastAsia="Times New Roman" w:cs="Times New Roman"/>
          <w:strike/>
          <w:sz w:val="24"/>
          <w:szCs w:val="24"/>
        </w:rPr>
        <w:t xml:space="preserve">5.2.5    </w:t>
      </w:r>
      <w:r>
        <w:rPr>
          <w:rFonts w:ascii="宋体" w:hAnsi="宋体" w:eastAsia="宋体" w:cs="宋体"/>
          <w:strike/>
          <w:sz w:val="24"/>
          <w:szCs w:val="24"/>
        </w:rPr>
        <w:t>民用建筑工程室内装修中所采用的水性涂料、水</w:t>
      </w:r>
      <w:r>
        <w:rPr>
          <w:rFonts w:ascii="宋体" w:hAnsi="宋体" w:eastAsia="宋体" w:cs="宋体"/>
          <w:strike/>
          <w:spacing w:val="-1"/>
          <w:sz w:val="24"/>
          <w:szCs w:val="24"/>
        </w:rPr>
        <w:t>性胶粘剂、水性处理剂必须有</w:t>
      </w:r>
      <w:r>
        <w:rPr>
          <w:rFonts w:ascii="宋体" w:hAnsi="宋体" w:eastAsia="宋体" w:cs="宋体"/>
          <w:sz w:val="24"/>
          <w:szCs w:val="24"/>
        </w:rPr>
        <w:t xml:space="preserve"> </w:t>
      </w:r>
      <w:r>
        <w:rPr>
          <w:rFonts w:ascii="宋体" w:hAnsi="宋体" w:eastAsia="宋体" w:cs="宋体"/>
          <w:strike/>
          <w:spacing w:val="-1"/>
          <w:sz w:val="24"/>
          <w:szCs w:val="24"/>
        </w:rPr>
        <w:t>同批次产品的挥发性有机化合物（</w:t>
      </w:r>
      <w:r>
        <w:rPr>
          <w:rFonts w:ascii="Times New Roman" w:hAnsi="Times New Roman" w:eastAsia="Times New Roman" w:cs="Times New Roman"/>
          <w:strike/>
          <w:spacing w:val="-1"/>
          <w:sz w:val="24"/>
          <w:szCs w:val="24"/>
        </w:rPr>
        <w:t>VOC</w:t>
      </w:r>
      <w:r>
        <w:rPr>
          <w:rFonts w:ascii="宋体" w:hAnsi="宋体" w:eastAsia="宋体" w:cs="宋体"/>
          <w:strike/>
          <w:spacing w:val="-1"/>
          <w:sz w:val="24"/>
          <w:szCs w:val="24"/>
        </w:rPr>
        <w:t>）和游离甲醛含量检测报告；溶剂型涂料、溶</w:t>
      </w:r>
      <w:r>
        <w:rPr>
          <w:rFonts w:ascii="宋体" w:hAnsi="宋体" w:eastAsia="宋体" w:cs="宋体"/>
          <w:spacing w:val="15"/>
          <w:sz w:val="24"/>
          <w:szCs w:val="24"/>
        </w:rPr>
        <w:t xml:space="preserve"> </w:t>
      </w:r>
      <w:r>
        <w:rPr>
          <w:rFonts w:ascii="宋体" w:hAnsi="宋体" w:eastAsia="宋体" w:cs="宋体"/>
          <w:strike/>
          <w:spacing w:val="-1"/>
          <w:sz w:val="24"/>
          <w:szCs w:val="24"/>
        </w:rPr>
        <w:t>剂型胶粘剂必须有同批次产品的挥发性有机物（</w:t>
      </w:r>
      <w:r>
        <w:rPr>
          <w:rFonts w:ascii="Times New Roman" w:hAnsi="Times New Roman" w:eastAsia="Times New Roman" w:cs="Times New Roman"/>
          <w:strike/>
          <w:spacing w:val="-1"/>
          <w:sz w:val="24"/>
          <w:szCs w:val="24"/>
        </w:rPr>
        <w:t>VOC</w:t>
      </w:r>
      <w:r>
        <w:rPr>
          <w:rFonts w:ascii="宋体" w:hAnsi="宋体" w:eastAsia="宋体" w:cs="宋体"/>
          <w:spacing w:val="-1"/>
          <w:sz w:val="24"/>
          <w:szCs w:val="24"/>
        </w:rPr>
        <w:t>）、苯、甲苯＋二甲苯、游离甲</w:t>
      </w:r>
      <w:r>
        <w:rPr>
          <w:rFonts w:ascii="宋体" w:hAnsi="宋体" w:eastAsia="宋体" w:cs="宋体"/>
          <w:spacing w:val="15"/>
          <w:sz w:val="24"/>
          <w:szCs w:val="24"/>
        </w:rPr>
        <w:t xml:space="preserve"> </w:t>
      </w:r>
      <w:r>
        <w:rPr>
          <w:rFonts w:ascii="宋体" w:hAnsi="宋体" w:eastAsia="宋体" w:cs="宋体"/>
          <w:sz w:val="24"/>
          <w:szCs w:val="24"/>
        </w:rPr>
        <w:t>苯二异氰酸酯（</w:t>
      </w:r>
      <w:r>
        <w:rPr>
          <w:rFonts w:ascii="Times New Roman" w:hAnsi="Times New Roman" w:eastAsia="Times New Roman" w:cs="Times New Roman"/>
          <w:strike/>
          <w:sz w:val="24"/>
          <w:szCs w:val="24"/>
        </w:rPr>
        <w:t>TDI</w:t>
      </w:r>
      <w:r>
        <w:rPr>
          <w:rFonts w:ascii="宋体" w:hAnsi="宋体" w:eastAsia="宋体" w:cs="宋体"/>
          <w:strike/>
          <w:sz w:val="24"/>
          <w:szCs w:val="24"/>
        </w:rPr>
        <w:t>）含量检测报告，并应符合设计</w:t>
      </w:r>
      <w:r>
        <w:rPr>
          <w:rFonts w:ascii="宋体" w:hAnsi="宋体" w:eastAsia="宋体" w:cs="宋体"/>
          <w:strike/>
          <w:spacing w:val="-1"/>
          <w:sz w:val="24"/>
          <w:szCs w:val="24"/>
        </w:rPr>
        <w:t>要求和本规范的有关规定。</w:t>
      </w:r>
    </w:p>
    <w:p w14:paraId="6B2C9DD1">
      <w:pPr>
        <w:spacing w:before="156" w:line="279" w:lineRule="auto"/>
        <w:ind w:left="105" w:right="288" w:firstLine="2"/>
        <w:rPr>
          <w:rFonts w:ascii="宋体" w:hAnsi="宋体" w:eastAsia="宋体" w:cs="宋体"/>
          <w:sz w:val="24"/>
          <w:szCs w:val="24"/>
        </w:rPr>
      </w:pPr>
      <w:r>
        <w:rPr>
          <w:rFonts w:ascii="Times New Roman" w:hAnsi="Times New Roman" w:eastAsia="Times New Roman" w:cs="Times New Roman"/>
          <w:strike/>
          <w:sz w:val="24"/>
          <w:szCs w:val="24"/>
        </w:rPr>
        <w:t xml:space="preserve">5.2.6    </w:t>
      </w:r>
      <w:r>
        <w:rPr>
          <w:rFonts w:ascii="宋体" w:hAnsi="宋体" w:eastAsia="宋体" w:cs="宋体"/>
          <w:strike/>
          <w:sz w:val="24"/>
          <w:szCs w:val="24"/>
        </w:rPr>
        <w:t>建筑材料和装修材料的检测项目不全或检测结果</w:t>
      </w:r>
      <w:r>
        <w:rPr>
          <w:rFonts w:ascii="宋体" w:hAnsi="宋体" w:eastAsia="宋体" w:cs="宋体"/>
          <w:strike/>
          <w:spacing w:val="-1"/>
          <w:sz w:val="24"/>
          <w:szCs w:val="24"/>
        </w:rPr>
        <w:t>有疑问时，必须将材料送有资</w:t>
      </w:r>
      <w:r>
        <w:rPr>
          <w:rFonts w:ascii="宋体" w:hAnsi="宋体" w:eastAsia="宋体" w:cs="宋体"/>
          <w:sz w:val="24"/>
          <w:szCs w:val="24"/>
        </w:rPr>
        <w:t xml:space="preserve"> </w:t>
      </w:r>
      <w:r>
        <w:rPr>
          <w:rFonts w:ascii="宋体" w:hAnsi="宋体" w:eastAsia="宋体" w:cs="宋体"/>
          <w:strike/>
          <w:spacing w:val="-1"/>
          <w:sz w:val="24"/>
          <w:szCs w:val="24"/>
        </w:rPr>
        <w:t>格的检测机构进行检验，检验合格后方可使用。</w:t>
      </w:r>
    </w:p>
    <w:p w14:paraId="22BC8240">
      <w:pPr>
        <w:spacing w:before="154" w:line="279" w:lineRule="auto"/>
        <w:ind w:left="104" w:right="288" w:firstLine="3"/>
        <w:rPr>
          <w:rFonts w:ascii="宋体" w:hAnsi="宋体" w:eastAsia="宋体" w:cs="宋体"/>
          <w:sz w:val="24"/>
          <w:szCs w:val="24"/>
        </w:rPr>
      </w:pPr>
      <w:r>
        <w:rPr>
          <w:rFonts w:ascii="Times New Roman" w:hAnsi="Times New Roman" w:eastAsia="Times New Roman" w:cs="Times New Roman"/>
          <w:strike/>
          <w:sz w:val="24"/>
          <w:szCs w:val="24"/>
        </w:rPr>
        <w:t xml:space="preserve">5.3.3    </w:t>
      </w:r>
      <w:r>
        <w:rPr>
          <w:rFonts w:ascii="宋体" w:hAnsi="宋体" w:eastAsia="宋体" w:cs="宋体"/>
          <w:strike/>
          <w:sz w:val="24"/>
          <w:szCs w:val="24"/>
        </w:rPr>
        <w:t>民用建筑工程室内装修时，严禁使用苯、工业苯</w:t>
      </w:r>
      <w:r>
        <w:rPr>
          <w:rFonts w:ascii="宋体" w:hAnsi="宋体" w:eastAsia="宋体" w:cs="宋体"/>
          <w:strike/>
          <w:spacing w:val="-1"/>
          <w:sz w:val="24"/>
          <w:szCs w:val="24"/>
        </w:rPr>
        <w:t>、石油苯、重质苯及混苯作为</w:t>
      </w:r>
      <w:r>
        <w:rPr>
          <w:rFonts w:ascii="宋体" w:hAnsi="宋体" w:eastAsia="宋体" w:cs="宋体"/>
          <w:sz w:val="24"/>
          <w:szCs w:val="24"/>
        </w:rPr>
        <w:t xml:space="preserve"> </w:t>
      </w:r>
      <w:r>
        <w:rPr>
          <w:rFonts w:ascii="宋体" w:hAnsi="宋体" w:eastAsia="宋体" w:cs="宋体"/>
          <w:strike/>
          <w:spacing w:val="-2"/>
          <w:sz w:val="24"/>
          <w:szCs w:val="24"/>
        </w:rPr>
        <w:t>稀释剂和溶剂。</w:t>
      </w:r>
    </w:p>
    <w:p w14:paraId="36842C3A">
      <w:pPr>
        <w:spacing w:before="156" w:line="219" w:lineRule="auto"/>
        <w:ind w:left="107"/>
        <w:rPr>
          <w:rFonts w:ascii="宋体" w:hAnsi="宋体" w:eastAsia="宋体" w:cs="宋体"/>
          <w:sz w:val="24"/>
          <w:szCs w:val="24"/>
        </w:rPr>
      </w:pPr>
      <w:r>
        <w:rPr>
          <w:rFonts w:ascii="Times New Roman" w:hAnsi="Times New Roman" w:eastAsia="Times New Roman" w:cs="Times New Roman"/>
          <w:strike/>
          <w:sz w:val="24"/>
          <w:szCs w:val="24"/>
        </w:rPr>
        <w:t xml:space="preserve">5.3.6    </w:t>
      </w:r>
      <w:r>
        <w:rPr>
          <w:rFonts w:ascii="宋体" w:hAnsi="宋体" w:eastAsia="宋体" w:cs="宋体"/>
          <w:strike/>
          <w:sz w:val="24"/>
          <w:szCs w:val="24"/>
        </w:rPr>
        <w:t>民用建筑工程室内严禁使</w:t>
      </w:r>
      <w:r>
        <w:rPr>
          <w:rFonts w:ascii="宋体" w:hAnsi="宋体" w:eastAsia="宋体" w:cs="宋体"/>
          <w:strike/>
          <w:spacing w:val="-1"/>
          <w:sz w:val="24"/>
          <w:szCs w:val="24"/>
        </w:rPr>
        <w:t>用有机溶剂清洗施工用具。</w:t>
      </w:r>
    </w:p>
    <w:p w14:paraId="7F8F5CA8">
      <w:pPr>
        <w:spacing w:before="154" w:line="279" w:lineRule="auto"/>
        <w:ind w:left="104" w:right="255"/>
        <w:rPr>
          <w:rFonts w:ascii="宋体" w:hAnsi="宋体" w:eastAsia="宋体" w:cs="宋体"/>
          <w:sz w:val="24"/>
          <w:szCs w:val="24"/>
        </w:rPr>
      </w:pPr>
      <w:r>
        <w:rPr>
          <w:rFonts w:ascii="Times New Roman" w:hAnsi="Times New Roman" w:eastAsia="Times New Roman" w:cs="Times New Roman"/>
          <w:b/>
          <w:bCs/>
          <w:color w:val="4472C4"/>
          <w:spacing w:val="-1"/>
          <w:sz w:val="24"/>
          <w:szCs w:val="24"/>
        </w:rPr>
        <w:t xml:space="preserve">6.0.3    </w:t>
      </w:r>
      <w:r>
        <w:rPr>
          <w:rFonts w:ascii="宋体" w:hAnsi="宋体" w:eastAsia="宋体" w:cs="宋体"/>
          <w:b/>
          <w:bCs/>
          <w:color w:val="4472C4"/>
          <w:spacing w:val="-1"/>
          <w:sz w:val="24"/>
          <w:szCs w:val="24"/>
        </w:rPr>
        <w:t>民用建筑工程所用建筑材料和</w:t>
      </w:r>
      <w:r>
        <w:rPr>
          <w:rFonts w:ascii="宋体" w:hAnsi="宋体" w:eastAsia="宋体" w:cs="宋体"/>
          <w:b/>
          <w:bCs/>
          <w:color w:val="4472C4"/>
          <w:spacing w:val="-2"/>
          <w:sz w:val="24"/>
          <w:szCs w:val="24"/>
        </w:rPr>
        <w:t>装修材料的类别、数量和施工工艺等，应符合设</w:t>
      </w:r>
      <w:r>
        <w:rPr>
          <w:rFonts w:ascii="宋体" w:hAnsi="宋体" w:eastAsia="宋体" w:cs="宋体"/>
          <w:color w:val="4472C4"/>
          <w:sz w:val="24"/>
          <w:szCs w:val="24"/>
        </w:rPr>
        <w:t xml:space="preserve"> </w:t>
      </w:r>
      <w:r>
        <w:rPr>
          <w:rFonts w:ascii="宋体" w:hAnsi="宋体" w:eastAsia="宋体" w:cs="宋体"/>
          <w:b/>
          <w:bCs/>
          <w:color w:val="4472C4"/>
          <w:spacing w:val="-5"/>
          <w:sz w:val="24"/>
          <w:szCs w:val="24"/>
        </w:rPr>
        <w:t>计要求和本规范的有关规定。</w:t>
      </w:r>
    </w:p>
    <w:p w14:paraId="3FF9BCD0">
      <w:pPr>
        <w:spacing w:before="155" w:line="220" w:lineRule="auto"/>
        <w:ind w:left="106"/>
        <w:rPr>
          <w:rFonts w:ascii="宋体" w:hAnsi="宋体" w:eastAsia="宋体" w:cs="宋体"/>
          <w:sz w:val="24"/>
          <w:szCs w:val="24"/>
        </w:rPr>
      </w:pPr>
      <w:r>
        <w:rPr>
          <w:rFonts w:ascii="Times New Roman" w:hAnsi="Times New Roman" w:eastAsia="Times New Roman" w:cs="Times New Roman"/>
          <w:strike/>
          <w:sz w:val="24"/>
          <w:szCs w:val="24"/>
        </w:rPr>
        <w:t xml:space="preserve">6.0.4    </w:t>
      </w:r>
      <w:r>
        <w:rPr>
          <w:rFonts w:ascii="宋体" w:hAnsi="宋体" w:eastAsia="宋体" w:cs="宋体"/>
          <w:strike/>
          <w:sz w:val="24"/>
          <w:szCs w:val="24"/>
        </w:rPr>
        <w:t>民用建筑工程验收时，必须进行室内环境污染物浓</w:t>
      </w:r>
      <w:r>
        <w:rPr>
          <w:rFonts w:ascii="宋体" w:hAnsi="宋体" w:eastAsia="宋体" w:cs="宋体"/>
          <w:strike/>
          <w:spacing w:val="-1"/>
          <w:sz w:val="24"/>
          <w:szCs w:val="24"/>
        </w:rPr>
        <w:t>度检测，其限量应符合表</w:t>
      </w:r>
    </w:p>
    <w:p w14:paraId="7C623891">
      <w:pPr>
        <w:spacing w:before="155" w:line="220" w:lineRule="auto"/>
        <w:ind w:left="106"/>
        <w:rPr>
          <w:rFonts w:ascii="宋体" w:hAnsi="宋体" w:eastAsia="宋体" w:cs="宋体"/>
          <w:sz w:val="24"/>
          <w:szCs w:val="24"/>
        </w:rPr>
      </w:pPr>
      <w:r>
        <w:rPr>
          <w:rFonts w:ascii="Times New Roman" w:hAnsi="Times New Roman" w:eastAsia="Times New Roman" w:cs="Times New Roman"/>
          <w:strike/>
          <w:spacing w:val="-4"/>
          <w:sz w:val="24"/>
          <w:szCs w:val="24"/>
        </w:rPr>
        <w:t>6.0.4</w:t>
      </w:r>
      <w:r>
        <w:rPr>
          <w:rFonts w:ascii="Times New Roman" w:hAnsi="Times New Roman" w:eastAsia="Times New Roman" w:cs="Times New Roman"/>
          <w:strike/>
          <w:spacing w:val="31"/>
          <w:w w:val="101"/>
          <w:sz w:val="24"/>
          <w:szCs w:val="24"/>
        </w:rPr>
        <w:t xml:space="preserve"> </w:t>
      </w:r>
      <w:r>
        <w:rPr>
          <w:rFonts w:ascii="宋体" w:hAnsi="宋体" w:eastAsia="宋体" w:cs="宋体"/>
          <w:strike/>
          <w:spacing w:val="-4"/>
          <w:sz w:val="24"/>
          <w:szCs w:val="24"/>
        </w:rPr>
        <w:t>的规定。</w:t>
      </w:r>
    </w:p>
    <w:p w14:paraId="3DB71AD3">
      <w:pPr>
        <w:spacing w:before="136" w:line="220" w:lineRule="auto"/>
        <w:ind w:left="2407"/>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4"/>
          <w:sz w:val="21"/>
          <w:szCs w:val="21"/>
        </w:rPr>
        <w:t xml:space="preserve"> </w:t>
      </w:r>
      <w:r>
        <w:rPr>
          <w:rFonts w:ascii="Times New Roman" w:hAnsi="Times New Roman" w:eastAsia="Times New Roman" w:cs="Times New Roman"/>
          <w:strike/>
          <w:spacing w:val="-1"/>
          <w:sz w:val="21"/>
          <w:szCs w:val="21"/>
        </w:rPr>
        <w:t xml:space="preserve">6.0.4    </w:t>
      </w:r>
      <w:r>
        <w:rPr>
          <w:rFonts w:ascii="宋体" w:hAnsi="宋体" w:eastAsia="宋体" w:cs="宋体"/>
          <w:strike/>
          <w:spacing w:val="-1"/>
          <w:sz w:val="21"/>
          <w:szCs w:val="21"/>
        </w:rPr>
        <w:t>民用建筑工程室内环境污染物浓度限量</w:t>
      </w:r>
    </w:p>
    <w:p w14:paraId="5AF28515">
      <w:pPr>
        <w:spacing w:line="89" w:lineRule="exact"/>
      </w:pPr>
    </w:p>
    <w:tbl>
      <w:tblPr>
        <w:tblStyle w:val="5"/>
        <w:tblW w:w="92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76"/>
        <w:gridCol w:w="3189"/>
        <w:gridCol w:w="3194"/>
      </w:tblGrid>
      <w:tr w14:paraId="24D22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2876" w:type="dxa"/>
            <w:vAlign w:val="top"/>
          </w:tcPr>
          <w:p w14:paraId="68929F81">
            <w:pPr>
              <w:pStyle w:val="6"/>
              <w:spacing w:before="112" w:line="216" w:lineRule="auto"/>
              <w:ind w:left="1130"/>
            </w:pPr>
            <w:r>
              <w:rPr>
                <w:strike/>
                <w:spacing w:val="-3"/>
              </w:rPr>
              <w:t>污染物</w:t>
            </w:r>
          </w:p>
        </w:tc>
        <w:tc>
          <w:tcPr>
            <w:tcW w:w="3189" w:type="dxa"/>
            <w:vAlign w:val="top"/>
          </w:tcPr>
          <w:p w14:paraId="00170DEB">
            <w:pPr>
              <w:pStyle w:val="6"/>
              <w:spacing w:before="112" w:line="216" w:lineRule="auto"/>
              <w:ind w:left="827"/>
            </w:pPr>
            <w:r>
              <w:rPr>
                <w:strike/>
                <w:spacing w:val="-9"/>
              </w:rPr>
              <w:t>Ⅰ类民用建筑工程</w:t>
            </w:r>
          </w:p>
        </w:tc>
        <w:tc>
          <w:tcPr>
            <w:tcW w:w="3194" w:type="dxa"/>
            <w:vAlign w:val="top"/>
          </w:tcPr>
          <w:p w14:paraId="255453B7">
            <w:pPr>
              <w:pStyle w:val="6"/>
              <w:spacing w:before="112" w:line="216" w:lineRule="auto"/>
              <w:ind w:left="797"/>
            </w:pPr>
            <w:r>
              <w:rPr>
                <w:strike/>
                <w:spacing w:val="-5"/>
              </w:rPr>
              <w:t>Ⅱ类民用建筑工程</w:t>
            </w:r>
          </w:p>
        </w:tc>
      </w:tr>
      <w:tr w14:paraId="6A110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2876" w:type="dxa"/>
            <w:vAlign w:val="top"/>
          </w:tcPr>
          <w:p w14:paraId="0508EA9C">
            <w:pPr>
              <w:pStyle w:val="6"/>
              <w:spacing w:before="110" w:line="212" w:lineRule="auto"/>
              <w:ind w:left="861"/>
            </w:pPr>
            <w:r>
              <w:rPr>
                <w:strike/>
                <w:spacing w:val="-1"/>
              </w:rPr>
              <w:t>氡（</w:t>
            </w:r>
            <w:r>
              <w:rPr>
                <w:rFonts w:ascii="Times New Roman" w:hAnsi="Times New Roman" w:eastAsia="Times New Roman" w:cs="Times New Roman"/>
                <w:strike/>
                <w:spacing w:val="-1"/>
              </w:rPr>
              <w:t>Bq/m</w:t>
            </w:r>
            <w:r>
              <w:rPr>
                <w:rFonts w:ascii="Times New Roman" w:hAnsi="Times New Roman" w:eastAsia="Times New Roman" w:cs="Times New Roman"/>
                <w:strike/>
                <w:spacing w:val="-1"/>
                <w:position w:val="7"/>
                <w:sz w:val="14"/>
                <w:szCs w:val="14"/>
              </w:rPr>
              <w:t>3</w:t>
            </w:r>
            <w:r>
              <w:rPr>
                <w:strike/>
                <w:spacing w:val="-1"/>
              </w:rPr>
              <w:t>）</w:t>
            </w:r>
          </w:p>
        </w:tc>
        <w:tc>
          <w:tcPr>
            <w:tcW w:w="3189" w:type="dxa"/>
            <w:vAlign w:val="top"/>
          </w:tcPr>
          <w:p w14:paraId="7B31A11B">
            <w:pPr>
              <w:pStyle w:val="6"/>
              <w:spacing w:before="110" w:line="215" w:lineRule="auto"/>
              <w:ind w:left="135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200</w:t>
            </w:r>
          </w:p>
        </w:tc>
        <w:tc>
          <w:tcPr>
            <w:tcW w:w="3194" w:type="dxa"/>
            <w:vAlign w:val="top"/>
          </w:tcPr>
          <w:p w14:paraId="2157E433">
            <w:pPr>
              <w:pStyle w:val="6"/>
              <w:spacing w:before="110" w:line="215" w:lineRule="auto"/>
              <w:ind w:left="1354"/>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400</w:t>
            </w:r>
          </w:p>
        </w:tc>
      </w:tr>
      <w:tr w14:paraId="41AD0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2876" w:type="dxa"/>
            <w:vAlign w:val="top"/>
          </w:tcPr>
          <w:p w14:paraId="6EA239FC">
            <w:pPr>
              <w:pStyle w:val="6"/>
              <w:spacing w:before="109" w:line="212" w:lineRule="auto"/>
              <w:ind w:left="841"/>
              <w:rPr>
                <w:rFonts w:ascii="Times New Roman" w:hAnsi="Times New Roman" w:eastAsia="Times New Roman" w:cs="Times New Roman"/>
              </w:rPr>
            </w:pPr>
            <w:r>
              <w:rPr>
                <w:strike/>
                <w:spacing w:val="-4"/>
              </w:rPr>
              <w:t>甲醛（</w:t>
            </w:r>
            <w:r>
              <w:rPr>
                <w:rFonts w:ascii="Times New Roman" w:hAnsi="Times New Roman" w:eastAsia="Times New Roman" w:cs="Times New Roman"/>
                <w:strike/>
                <w:spacing w:val="-4"/>
              </w:rPr>
              <w:t>mg/m</w:t>
            </w:r>
            <w:r>
              <w:rPr>
                <w:rFonts w:ascii="Times New Roman" w:hAnsi="Times New Roman" w:eastAsia="Times New Roman" w:cs="Times New Roman"/>
                <w:strike/>
                <w:spacing w:val="-4"/>
                <w:position w:val="7"/>
                <w:sz w:val="14"/>
                <w:szCs w:val="14"/>
              </w:rPr>
              <w:t>3</w:t>
            </w:r>
            <w:r>
              <w:rPr>
                <w:rFonts w:ascii="Times New Roman" w:hAnsi="Times New Roman" w:eastAsia="Times New Roman" w:cs="Times New Roman"/>
                <w:strike/>
                <w:spacing w:val="-4"/>
              </w:rPr>
              <w:t>)</w:t>
            </w:r>
          </w:p>
        </w:tc>
        <w:tc>
          <w:tcPr>
            <w:tcW w:w="3189" w:type="dxa"/>
            <w:vAlign w:val="top"/>
          </w:tcPr>
          <w:p w14:paraId="727D76F5">
            <w:pPr>
              <w:pStyle w:val="6"/>
              <w:spacing w:before="109" w:line="215" w:lineRule="auto"/>
              <w:ind w:left="1325"/>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08</w:t>
            </w:r>
          </w:p>
        </w:tc>
        <w:tc>
          <w:tcPr>
            <w:tcW w:w="3194" w:type="dxa"/>
            <w:vAlign w:val="top"/>
          </w:tcPr>
          <w:p w14:paraId="0698725E">
            <w:pPr>
              <w:pStyle w:val="6"/>
              <w:spacing w:before="109" w:line="215" w:lineRule="auto"/>
              <w:ind w:left="1379"/>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0.1</w:t>
            </w:r>
          </w:p>
        </w:tc>
      </w:tr>
      <w:tr w14:paraId="3E162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2876" w:type="dxa"/>
            <w:vAlign w:val="top"/>
          </w:tcPr>
          <w:p w14:paraId="4F4F235E">
            <w:pPr>
              <w:pStyle w:val="6"/>
              <w:spacing w:before="110" w:line="212" w:lineRule="auto"/>
              <w:ind w:left="921"/>
              <w:rPr>
                <w:rFonts w:ascii="Times New Roman" w:hAnsi="Times New Roman" w:eastAsia="Times New Roman" w:cs="Times New Roman"/>
              </w:rPr>
            </w:pPr>
            <w:r>
              <w:rPr>
                <w:strike/>
                <w:spacing w:val="-2"/>
              </w:rPr>
              <w:t>苯（</w:t>
            </w:r>
            <w:r>
              <w:rPr>
                <w:rFonts w:ascii="Times New Roman" w:hAnsi="Times New Roman" w:eastAsia="Times New Roman" w:cs="Times New Roman"/>
                <w:strike/>
                <w:spacing w:val="-2"/>
              </w:rPr>
              <w:t>mg/m</w:t>
            </w:r>
            <w:r>
              <w:rPr>
                <w:rFonts w:ascii="Times New Roman" w:hAnsi="Times New Roman" w:eastAsia="Times New Roman" w:cs="Times New Roman"/>
                <w:strike/>
                <w:spacing w:val="-2"/>
                <w:position w:val="7"/>
                <w:sz w:val="14"/>
                <w:szCs w:val="14"/>
              </w:rPr>
              <w:t>3</w:t>
            </w:r>
            <w:r>
              <w:rPr>
                <w:rFonts w:ascii="Times New Roman" w:hAnsi="Times New Roman" w:eastAsia="Times New Roman" w:cs="Times New Roman"/>
                <w:strike/>
                <w:spacing w:val="-2"/>
              </w:rPr>
              <w:t>)</w:t>
            </w:r>
          </w:p>
        </w:tc>
        <w:tc>
          <w:tcPr>
            <w:tcW w:w="3189" w:type="dxa"/>
            <w:vAlign w:val="top"/>
          </w:tcPr>
          <w:p w14:paraId="3141453E">
            <w:pPr>
              <w:pStyle w:val="6"/>
              <w:spacing w:before="110" w:line="213" w:lineRule="auto"/>
              <w:ind w:left="1325"/>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09</w:t>
            </w:r>
          </w:p>
        </w:tc>
        <w:tc>
          <w:tcPr>
            <w:tcW w:w="3194" w:type="dxa"/>
            <w:vAlign w:val="top"/>
          </w:tcPr>
          <w:p w14:paraId="43A97679">
            <w:pPr>
              <w:pStyle w:val="6"/>
              <w:spacing w:before="110" w:line="213" w:lineRule="auto"/>
              <w:ind w:left="1328"/>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09</w:t>
            </w:r>
          </w:p>
        </w:tc>
      </w:tr>
      <w:tr w14:paraId="776ED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2876" w:type="dxa"/>
            <w:vAlign w:val="top"/>
          </w:tcPr>
          <w:p w14:paraId="5A35AA44">
            <w:pPr>
              <w:pStyle w:val="6"/>
              <w:spacing w:before="113" w:line="212" w:lineRule="auto"/>
              <w:ind w:left="918"/>
              <w:rPr>
                <w:rFonts w:ascii="Times New Roman" w:hAnsi="Times New Roman" w:eastAsia="Times New Roman" w:cs="Times New Roman"/>
              </w:rPr>
            </w:pPr>
            <w:r>
              <w:rPr>
                <w:strike/>
                <w:spacing w:val="-1"/>
              </w:rPr>
              <w:t>氨（</w:t>
            </w:r>
            <w:r>
              <w:rPr>
                <w:rFonts w:ascii="Times New Roman" w:hAnsi="Times New Roman" w:eastAsia="Times New Roman" w:cs="Times New Roman"/>
                <w:strike/>
                <w:spacing w:val="-1"/>
              </w:rPr>
              <w:t>mg/m</w:t>
            </w:r>
            <w:r>
              <w:rPr>
                <w:rFonts w:ascii="Times New Roman" w:hAnsi="Times New Roman" w:eastAsia="Times New Roman" w:cs="Times New Roman"/>
                <w:strike/>
                <w:spacing w:val="-1"/>
                <w:position w:val="7"/>
                <w:sz w:val="14"/>
                <w:szCs w:val="14"/>
              </w:rPr>
              <w:t>3</w:t>
            </w:r>
            <w:r>
              <w:rPr>
                <w:rFonts w:ascii="Times New Roman" w:hAnsi="Times New Roman" w:eastAsia="Times New Roman" w:cs="Times New Roman"/>
                <w:strike/>
                <w:spacing w:val="-1"/>
              </w:rPr>
              <w:t>)</w:t>
            </w:r>
          </w:p>
        </w:tc>
        <w:tc>
          <w:tcPr>
            <w:tcW w:w="3189" w:type="dxa"/>
            <w:vAlign w:val="top"/>
          </w:tcPr>
          <w:p w14:paraId="28884C89">
            <w:pPr>
              <w:pStyle w:val="6"/>
              <w:spacing w:before="113" w:line="216" w:lineRule="auto"/>
              <w:ind w:left="137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c>
          <w:tcPr>
            <w:tcW w:w="3194" w:type="dxa"/>
            <w:vAlign w:val="top"/>
          </w:tcPr>
          <w:p w14:paraId="633D9133">
            <w:pPr>
              <w:pStyle w:val="6"/>
              <w:spacing w:before="113" w:line="216" w:lineRule="auto"/>
              <w:ind w:left="1379"/>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0.2</w:t>
            </w:r>
          </w:p>
        </w:tc>
      </w:tr>
    </w:tbl>
    <w:p w14:paraId="2ACDDE52">
      <w:pPr>
        <w:pStyle w:val="2"/>
      </w:pPr>
    </w:p>
    <w:p w14:paraId="7B99A970">
      <w:pPr>
        <w:sectPr>
          <w:footerReference r:id="rId45" w:type="default"/>
          <w:pgSz w:w="11907" w:h="16839"/>
          <w:pgMar w:top="400" w:right="1321" w:bottom="743" w:left="1321" w:header="0" w:footer="582" w:gutter="0"/>
          <w:cols w:space="720" w:num="1"/>
        </w:sectPr>
      </w:pPr>
    </w:p>
    <w:p w14:paraId="081DD33F">
      <w:pPr>
        <w:spacing w:before="41"/>
      </w:pPr>
    </w:p>
    <w:p w14:paraId="01F7E1C0">
      <w:pPr>
        <w:spacing w:before="41"/>
      </w:pPr>
    </w:p>
    <w:p w14:paraId="73CF490A">
      <w:pPr>
        <w:spacing w:before="40"/>
      </w:pPr>
    </w:p>
    <w:tbl>
      <w:tblPr>
        <w:tblStyle w:val="5"/>
        <w:tblW w:w="92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4"/>
        <w:gridCol w:w="882"/>
        <w:gridCol w:w="3189"/>
        <w:gridCol w:w="3194"/>
      </w:tblGrid>
      <w:tr w14:paraId="68341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994" w:type="dxa"/>
            <w:tcBorders>
              <w:right w:val="nil"/>
            </w:tcBorders>
            <w:vAlign w:val="top"/>
          </w:tcPr>
          <w:p w14:paraId="17016F37">
            <w:pPr>
              <w:pStyle w:val="6"/>
              <w:spacing w:before="113" w:line="212" w:lineRule="auto"/>
              <w:jc w:val="right"/>
              <w:rPr>
                <w:rFonts w:ascii="Times New Roman" w:hAnsi="Times New Roman" w:eastAsia="Times New Roman" w:cs="Times New Roman"/>
              </w:rPr>
            </w:pPr>
            <w:r>
              <w:rPr>
                <w:rFonts w:ascii="Times New Roman" w:hAnsi="Times New Roman" w:eastAsia="Times New Roman" w:cs="Times New Roman"/>
                <w:strike/>
                <w:spacing w:val="-3"/>
              </w:rPr>
              <w:t>T</w:t>
            </w:r>
            <w:r>
              <w:rPr>
                <w:rFonts w:ascii="Times New Roman" w:hAnsi="Times New Roman" w:eastAsia="Times New Roman" w:cs="Times New Roman"/>
                <w:strike/>
                <w:spacing w:val="-2"/>
              </w:rPr>
              <w:t>VOC</w:t>
            </w:r>
            <w:r>
              <w:rPr>
                <w:strike/>
                <w:spacing w:val="-2"/>
              </w:rPr>
              <w:t>（</w:t>
            </w:r>
            <w:r>
              <w:rPr>
                <w:rFonts w:ascii="Times New Roman" w:hAnsi="Times New Roman" w:eastAsia="Times New Roman" w:cs="Times New Roman"/>
                <w:strike/>
                <w:spacing w:val="-2"/>
              </w:rPr>
              <w:t>mg/</w:t>
            </w:r>
            <w:r>
              <w:rPr>
                <w:rFonts w:ascii="Times New Roman" w:hAnsi="Times New Roman" w:eastAsia="Times New Roman" w:cs="Times New Roman"/>
                <w:strike/>
                <w:spacing w:val="-1"/>
              </w:rPr>
              <w:t>m</w:t>
            </w:r>
          </w:p>
        </w:tc>
        <w:tc>
          <w:tcPr>
            <w:tcW w:w="882" w:type="dxa"/>
            <w:tcBorders>
              <w:left w:val="nil"/>
            </w:tcBorders>
            <w:vAlign w:val="top"/>
          </w:tcPr>
          <w:p w14:paraId="0B8EB0F5">
            <w:pPr>
              <w:spacing w:before="118" w:line="215" w:lineRule="auto"/>
              <w:ind w:left="15"/>
              <w:rPr>
                <w:rFonts w:ascii="Times New Roman" w:hAnsi="Times New Roman" w:eastAsia="Times New Roman" w:cs="Times New Roman"/>
                <w:sz w:val="21"/>
                <w:szCs w:val="21"/>
              </w:rPr>
            </w:pPr>
            <w:r>
              <w:rPr>
                <w:rFonts w:ascii="Times New Roman" w:hAnsi="Times New Roman" w:eastAsia="Times New Roman" w:cs="Times New Roman"/>
                <w:strike/>
                <w:spacing w:val="-3"/>
                <w:position w:val="6"/>
                <w:sz w:val="14"/>
                <w:szCs w:val="14"/>
              </w:rPr>
              <w:t>3</w:t>
            </w:r>
            <w:r>
              <w:rPr>
                <w:rFonts w:ascii="Times New Roman" w:hAnsi="Times New Roman" w:eastAsia="Times New Roman" w:cs="Times New Roman"/>
                <w:strike/>
                <w:spacing w:val="-3"/>
                <w:position w:val="-1"/>
                <w:sz w:val="21"/>
                <w:szCs w:val="21"/>
              </w:rPr>
              <w:t>)</w:t>
            </w:r>
          </w:p>
        </w:tc>
        <w:tc>
          <w:tcPr>
            <w:tcW w:w="3189" w:type="dxa"/>
            <w:vAlign w:val="top"/>
          </w:tcPr>
          <w:p w14:paraId="360F2244">
            <w:pPr>
              <w:pStyle w:val="6"/>
              <w:spacing w:before="113" w:line="217" w:lineRule="auto"/>
              <w:ind w:left="137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3194" w:type="dxa"/>
            <w:vAlign w:val="top"/>
          </w:tcPr>
          <w:p w14:paraId="49C356F5">
            <w:pPr>
              <w:pStyle w:val="6"/>
              <w:spacing w:before="113" w:line="217" w:lineRule="auto"/>
              <w:ind w:left="1379"/>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r>
    </w:tbl>
    <w:p w14:paraId="19DB15B8">
      <w:pPr>
        <w:spacing w:before="108" w:line="316" w:lineRule="auto"/>
        <w:ind w:left="103" w:right="138"/>
        <w:rPr>
          <w:rFonts w:ascii="宋体" w:hAnsi="宋体" w:eastAsia="宋体" w:cs="宋体"/>
          <w:sz w:val="21"/>
          <w:szCs w:val="21"/>
        </w:rPr>
      </w:pPr>
      <w:r>
        <w:rPr>
          <w:rFonts w:ascii="宋体" w:hAnsi="宋体" w:eastAsia="宋体" w:cs="宋体"/>
          <w:strike/>
          <w:sz w:val="21"/>
          <w:szCs w:val="21"/>
        </w:rPr>
        <w:t>注：</w:t>
      </w:r>
      <w:r>
        <w:rPr>
          <w:rFonts w:ascii="Times New Roman" w:hAnsi="Times New Roman" w:eastAsia="Times New Roman" w:cs="Times New Roman"/>
          <w:strike/>
          <w:sz w:val="21"/>
          <w:szCs w:val="21"/>
        </w:rPr>
        <w:t xml:space="preserve">1  </w:t>
      </w:r>
      <w:r>
        <w:rPr>
          <w:rFonts w:ascii="宋体" w:hAnsi="宋体" w:eastAsia="宋体" w:cs="宋体"/>
          <w:strike/>
          <w:sz w:val="21"/>
          <w:szCs w:val="21"/>
        </w:rPr>
        <w:t>表中污染物浓度测量值，除氡外均指室内测量值扣除同步测量的室外</w:t>
      </w:r>
      <w:r>
        <w:rPr>
          <w:rFonts w:ascii="宋体" w:hAnsi="宋体" w:eastAsia="宋体" w:cs="宋体"/>
          <w:strike/>
          <w:spacing w:val="-1"/>
          <w:sz w:val="21"/>
          <w:szCs w:val="21"/>
        </w:rPr>
        <w:t>上风向空气测量值（本</w:t>
      </w:r>
      <w:r>
        <w:rPr>
          <w:rFonts w:ascii="宋体" w:hAnsi="宋体" w:eastAsia="宋体" w:cs="宋体"/>
          <w:sz w:val="21"/>
          <w:szCs w:val="21"/>
        </w:rPr>
        <w:t xml:space="preserve"> </w:t>
      </w:r>
      <w:r>
        <w:rPr>
          <w:rFonts w:ascii="宋体" w:hAnsi="宋体" w:eastAsia="宋体" w:cs="宋体"/>
          <w:strike/>
          <w:spacing w:val="-1"/>
          <w:sz w:val="21"/>
          <w:szCs w:val="21"/>
        </w:rPr>
        <w:t>底值）后的测量值。</w:t>
      </w:r>
    </w:p>
    <w:p w14:paraId="11AC7DE6">
      <w:pPr>
        <w:tabs>
          <w:tab w:val="left" w:pos="520"/>
        </w:tabs>
        <w:spacing w:line="218" w:lineRule="auto"/>
        <w:ind w:left="96"/>
        <w:rPr>
          <w:rFonts w:ascii="宋体" w:hAnsi="宋体" w:eastAsia="宋体" w:cs="宋体"/>
          <w:sz w:val="21"/>
          <w:szCs w:val="21"/>
        </w:rPr>
      </w:pPr>
      <w:r>
        <w:rPr>
          <w:rFonts w:ascii="Times New Roman" w:hAnsi="Times New Roman" w:eastAsia="Times New Roman" w:cs="Times New Roman"/>
          <w:strike/>
          <w:sz w:val="21"/>
          <w:szCs w:val="21"/>
        </w:rPr>
        <w:tab/>
      </w:r>
      <w:r>
        <w:rPr>
          <w:rFonts w:ascii="Times New Roman" w:hAnsi="Times New Roman" w:eastAsia="Times New Roman" w:cs="Times New Roman"/>
          <w:strike/>
          <w:sz w:val="21"/>
          <w:szCs w:val="21"/>
        </w:rPr>
        <w:t xml:space="preserve">2  </w:t>
      </w:r>
      <w:r>
        <w:rPr>
          <w:rFonts w:ascii="宋体" w:hAnsi="宋体" w:eastAsia="宋体" w:cs="宋体"/>
          <w:strike/>
          <w:sz w:val="21"/>
          <w:szCs w:val="21"/>
        </w:rPr>
        <w:t>表中污染物浓度测量值的极限值判定，采用全数</w:t>
      </w:r>
      <w:r>
        <w:rPr>
          <w:rFonts w:ascii="宋体" w:hAnsi="宋体" w:eastAsia="宋体" w:cs="宋体"/>
          <w:strike/>
          <w:spacing w:val="-1"/>
          <w:sz w:val="21"/>
          <w:szCs w:val="21"/>
        </w:rPr>
        <w:t>值比较法。</w:t>
      </w:r>
    </w:p>
    <w:p w14:paraId="380C8CEE">
      <w:pPr>
        <w:spacing w:before="149" w:line="279" w:lineRule="auto"/>
        <w:ind w:left="108" w:right="256" w:hanging="4"/>
        <w:rPr>
          <w:rFonts w:ascii="宋体" w:hAnsi="宋体" w:eastAsia="宋体" w:cs="宋体"/>
          <w:sz w:val="24"/>
          <w:szCs w:val="24"/>
        </w:rPr>
      </w:pPr>
      <w:r>
        <w:rPr>
          <w:rFonts w:ascii="Times New Roman" w:hAnsi="Times New Roman" w:eastAsia="Times New Roman" w:cs="Times New Roman"/>
          <w:b/>
          <w:bCs/>
          <w:color w:val="4472C4"/>
          <w:spacing w:val="-2"/>
          <w:sz w:val="24"/>
          <w:szCs w:val="24"/>
        </w:rPr>
        <w:t xml:space="preserve">6.0.19    </w:t>
      </w:r>
      <w:r>
        <w:rPr>
          <w:rFonts w:ascii="宋体" w:hAnsi="宋体" w:eastAsia="宋体" w:cs="宋体"/>
          <w:b/>
          <w:bCs/>
          <w:color w:val="4472C4"/>
          <w:spacing w:val="-2"/>
          <w:sz w:val="24"/>
          <w:szCs w:val="24"/>
        </w:rPr>
        <w:t>当室内环境污染物浓度的全部检测结果符合本规范表</w:t>
      </w:r>
      <w:r>
        <w:rPr>
          <w:rFonts w:ascii="宋体" w:hAnsi="宋体" w:eastAsia="宋体" w:cs="宋体"/>
          <w:color w:val="4472C4"/>
          <w:spacing w:val="-50"/>
          <w:sz w:val="24"/>
          <w:szCs w:val="24"/>
        </w:rPr>
        <w:t xml:space="preserve"> </w:t>
      </w:r>
      <w:r>
        <w:rPr>
          <w:rFonts w:ascii="Times New Roman" w:hAnsi="Times New Roman" w:eastAsia="Times New Roman" w:cs="Times New Roman"/>
          <w:b/>
          <w:bCs/>
          <w:color w:val="4472C4"/>
          <w:spacing w:val="-2"/>
          <w:sz w:val="24"/>
          <w:szCs w:val="24"/>
        </w:rPr>
        <w:t>6.0.4</w:t>
      </w:r>
      <w:r>
        <w:rPr>
          <w:rFonts w:ascii="Times New Roman" w:hAnsi="Times New Roman" w:eastAsia="Times New Roman" w:cs="Times New Roman"/>
          <w:b/>
          <w:bCs/>
          <w:color w:val="4472C4"/>
          <w:spacing w:val="29"/>
          <w:sz w:val="24"/>
          <w:szCs w:val="24"/>
        </w:rPr>
        <w:t xml:space="preserve"> </w:t>
      </w:r>
      <w:r>
        <w:rPr>
          <w:rFonts w:ascii="宋体" w:hAnsi="宋体" w:eastAsia="宋体" w:cs="宋体"/>
          <w:b/>
          <w:bCs/>
          <w:color w:val="4472C4"/>
          <w:spacing w:val="-2"/>
          <w:sz w:val="24"/>
          <w:szCs w:val="24"/>
        </w:rPr>
        <w:t>的规定时</w:t>
      </w:r>
      <w:r>
        <w:rPr>
          <w:rFonts w:ascii="宋体" w:hAnsi="宋体" w:eastAsia="宋体" w:cs="宋体"/>
          <w:b/>
          <w:bCs/>
          <w:color w:val="4472C4"/>
          <w:spacing w:val="-3"/>
          <w:sz w:val="24"/>
          <w:szCs w:val="24"/>
        </w:rPr>
        <w:t>，应判定</w:t>
      </w:r>
      <w:r>
        <w:rPr>
          <w:rFonts w:ascii="宋体" w:hAnsi="宋体" w:eastAsia="宋体" w:cs="宋体"/>
          <w:color w:val="4472C4"/>
          <w:sz w:val="24"/>
          <w:szCs w:val="24"/>
        </w:rPr>
        <w:t xml:space="preserve"> </w:t>
      </w:r>
      <w:r>
        <w:rPr>
          <w:rFonts w:ascii="宋体" w:hAnsi="宋体" w:eastAsia="宋体" w:cs="宋体"/>
          <w:b/>
          <w:bCs/>
          <w:color w:val="4472C4"/>
          <w:spacing w:val="-5"/>
          <w:sz w:val="24"/>
          <w:szCs w:val="24"/>
        </w:rPr>
        <w:t>该工程室内环境质量合格。</w:t>
      </w:r>
    </w:p>
    <w:p w14:paraId="4D7DFEF2">
      <w:pPr>
        <w:spacing w:before="154" w:line="220" w:lineRule="auto"/>
        <w:ind w:left="104"/>
        <w:rPr>
          <w:rFonts w:ascii="宋体" w:hAnsi="宋体" w:eastAsia="宋体" w:cs="宋体"/>
          <w:sz w:val="24"/>
          <w:szCs w:val="24"/>
        </w:rPr>
      </w:pPr>
      <w:r>
        <w:rPr>
          <w:rFonts w:ascii="Times New Roman" w:hAnsi="Times New Roman" w:eastAsia="Times New Roman" w:cs="Times New Roman"/>
          <w:b/>
          <w:bCs/>
          <w:color w:val="4472C4"/>
          <w:spacing w:val="-2"/>
          <w:sz w:val="24"/>
          <w:szCs w:val="24"/>
        </w:rPr>
        <w:t xml:space="preserve">6.0.21    </w:t>
      </w:r>
      <w:r>
        <w:rPr>
          <w:rFonts w:ascii="宋体" w:hAnsi="宋体" w:eastAsia="宋体" w:cs="宋体"/>
          <w:b/>
          <w:bCs/>
          <w:color w:val="4472C4"/>
          <w:spacing w:val="-2"/>
          <w:sz w:val="24"/>
          <w:szCs w:val="24"/>
        </w:rPr>
        <w:t>室内环境质量验收不合格的民用建筑工程，严</w:t>
      </w:r>
      <w:r>
        <w:rPr>
          <w:rFonts w:ascii="宋体" w:hAnsi="宋体" w:eastAsia="宋体" w:cs="宋体"/>
          <w:b/>
          <w:bCs/>
          <w:color w:val="4472C4"/>
          <w:spacing w:val="-3"/>
          <w:sz w:val="24"/>
          <w:szCs w:val="24"/>
        </w:rPr>
        <w:t>禁投入使用。</w:t>
      </w:r>
    </w:p>
    <w:p w14:paraId="683AC984">
      <w:pPr>
        <w:spacing w:before="202" w:line="226" w:lineRule="auto"/>
        <w:ind w:left="102"/>
        <w:outlineLvl w:val="1"/>
        <w:rPr>
          <w:rFonts w:ascii="Times New Roman" w:hAnsi="Times New Roman" w:eastAsia="Times New Roman" w:cs="Times New Roman"/>
          <w:sz w:val="27"/>
          <w:szCs w:val="27"/>
        </w:rPr>
      </w:pPr>
      <w:bookmarkStart w:id="58" w:name="bookmark105"/>
      <w:bookmarkEnd w:id="58"/>
      <w:r>
        <w:rPr>
          <w:rFonts w:ascii="Times New Roman" w:hAnsi="Times New Roman" w:eastAsia="Times New Roman" w:cs="Times New Roman"/>
          <w:b/>
          <w:bCs/>
          <w:spacing w:val="6"/>
          <w:sz w:val="27"/>
          <w:szCs w:val="27"/>
        </w:rPr>
        <w:t>4.</w:t>
      </w:r>
      <w:r>
        <w:rPr>
          <w:rFonts w:ascii="Times New Roman" w:hAnsi="Times New Roman" w:eastAsia="Times New Roman" w:cs="Times New Roman"/>
          <w:b/>
          <w:bCs/>
          <w:spacing w:val="-35"/>
          <w:sz w:val="27"/>
          <w:szCs w:val="27"/>
        </w:rPr>
        <w:t xml:space="preserve"> </w:t>
      </w:r>
      <w:r>
        <w:rPr>
          <w:rFonts w:ascii="宋体" w:hAnsi="宋体" w:eastAsia="宋体" w:cs="宋体"/>
          <w:b/>
          <w:bCs/>
          <w:spacing w:val="6"/>
          <w:sz w:val="27"/>
          <w:szCs w:val="27"/>
        </w:rPr>
        <w:t>《铝合金结构工程施工质量验收规范》——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50576-2010</w:t>
      </w:r>
    </w:p>
    <w:p w14:paraId="1D33A425">
      <w:pPr>
        <w:spacing w:before="287" w:line="278" w:lineRule="auto"/>
        <w:ind w:left="105" w:right="408"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14.4.1    </w:t>
      </w:r>
      <w:r>
        <w:rPr>
          <w:rFonts w:ascii="宋体" w:hAnsi="宋体" w:eastAsia="宋体" w:cs="宋体"/>
          <w:spacing w:val="-1"/>
          <w:sz w:val="24"/>
          <w:szCs w:val="24"/>
        </w:rPr>
        <w:t>当铝合金材料与不锈钢以外的其他金属材料或含酸性、碱性的非金属材料接</w:t>
      </w:r>
      <w:r>
        <w:rPr>
          <w:rFonts w:ascii="宋体" w:hAnsi="宋体" w:eastAsia="宋体" w:cs="宋体"/>
          <w:spacing w:val="13"/>
          <w:sz w:val="24"/>
          <w:szCs w:val="24"/>
        </w:rPr>
        <w:t xml:space="preserve"> </w:t>
      </w:r>
      <w:r>
        <w:rPr>
          <w:rFonts w:ascii="宋体" w:hAnsi="宋体" w:eastAsia="宋体" w:cs="宋体"/>
          <w:spacing w:val="-3"/>
          <w:sz w:val="24"/>
          <w:szCs w:val="24"/>
        </w:rPr>
        <w:t>触、紧固时，应采用隔离材料。</w:t>
      </w:r>
    </w:p>
    <w:p w14:paraId="3FAFE744">
      <w:pPr>
        <w:spacing w:before="156" w:line="219" w:lineRule="auto"/>
        <w:ind w:left="124"/>
        <w:rPr>
          <w:rFonts w:ascii="宋体" w:hAnsi="宋体" w:eastAsia="宋体" w:cs="宋体"/>
          <w:sz w:val="24"/>
          <w:szCs w:val="24"/>
        </w:rPr>
      </w:pPr>
      <w:r>
        <w:rPr>
          <w:rFonts w:ascii="Times New Roman" w:hAnsi="Times New Roman" w:eastAsia="Times New Roman" w:cs="Times New Roman"/>
          <w:spacing w:val="-2"/>
          <w:sz w:val="24"/>
          <w:szCs w:val="24"/>
        </w:rPr>
        <w:t xml:space="preserve">14.4.2    </w:t>
      </w:r>
      <w:r>
        <w:rPr>
          <w:rFonts w:ascii="宋体" w:hAnsi="宋体" w:eastAsia="宋体" w:cs="宋体"/>
          <w:spacing w:val="-2"/>
          <w:sz w:val="24"/>
          <w:szCs w:val="24"/>
        </w:rPr>
        <w:t>隔离材料严禁与铝合金材料及相接触的其他金属材料产生电偶腐蚀。</w:t>
      </w:r>
    </w:p>
    <w:p w14:paraId="25543DC3">
      <w:pPr>
        <w:spacing w:before="202" w:line="226" w:lineRule="auto"/>
        <w:ind w:left="105"/>
        <w:outlineLvl w:val="1"/>
        <w:rPr>
          <w:rFonts w:ascii="宋体" w:hAnsi="宋体" w:eastAsia="宋体" w:cs="宋体"/>
          <w:sz w:val="27"/>
          <w:szCs w:val="27"/>
        </w:rPr>
      </w:pPr>
      <w:bookmarkStart w:id="59" w:name="bookmark106"/>
      <w:bookmarkEnd w:id="59"/>
      <w:r>
        <w:rPr>
          <w:rFonts w:ascii="Times New Roman" w:hAnsi="Times New Roman" w:eastAsia="Times New Roman" w:cs="Times New Roman"/>
          <w:b/>
          <w:bCs/>
          <w:spacing w:val="5"/>
          <w:sz w:val="27"/>
          <w:szCs w:val="27"/>
        </w:rPr>
        <w:t>5.</w:t>
      </w:r>
      <w:r>
        <w:rPr>
          <w:rFonts w:ascii="宋体" w:hAnsi="宋体" w:eastAsia="宋体" w:cs="宋体"/>
          <w:b/>
          <w:bCs/>
          <w:spacing w:val="5"/>
          <w:sz w:val="27"/>
          <w:szCs w:val="27"/>
        </w:rPr>
        <w:t>《塑料门窗工程技术规范》</w:t>
      </w:r>
      <w:r>
        <w:rPr>
          <w:rFonts w:ascii="宋体" w:hAnsi="宋体" w:eastAsia="宋体" w:cs="宋体"/>
          <w:spacing w:val="-76"/>
          <w:sz w:val="27"/>
          <w:szCs w:val="27"/>
        </w:rPr>
        <w:t xml:space="preserve"> </w:t>
      </w:r>
      <w:r>
        <w:rPr>
          <w:rFonts w:ascii="宋体" w:hAnsi="宋体" w:eastAsia="宋体" w:cs="宋体"/>
          <w:b/>
          <w:bCs/>
          <w:spacing w:val="5"/>
          <w:sz w:val="27"/>
          <w:szCs w:val="27"/>
        </w:rPr>
        <w:t>——</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103-2008</w:t>
      </w:r>
      <w:r>
        <w:rPr>
          <w:rFonts w:ascii="宋体" w:hAnsi="宋体" w:eastAsia="宋体" w:cs="宋体"/>
          <w:b/>
          <w:bCs/>
          <w:spacing w:val="5"/>
          <w:sz w:val="27"/>
          <w:szCs w:val="27"/>
        </w:rPr>
        <w:t>【强条已废】</w:t>
      </w:r>
    </w:p>
    <w:p w14:paraId="5F34FD8E">
      <w:pPr>
        <w:spacing w:before="286" w:line="220" w:lineRule="auto"/>
        <w:ind w:left="132"/>
        <w:rPr>
          <w:rFonts w:ascii="宋体" w:hAnsi="宋体" w:eastAsia="宋体" w:cs="宋体"/>
          <w:sz w:val="24"/>
          <w:szCs w:val="24"/>
        </w:rPr>
      </w:pPr>
      <w:r>
        <w:rPr>
          <w:rFonts w:ascii="宋体" w:hAnsi="宋体" w:eastAsia="宋体" w:cs="宋体"/>
          <w:b/>
          <w:bCs/>
          <w:color w:val="EE0000"/>
          <w:spacing w:val="-3"/>
          <w:sz w:val="24"/>
          <w:szCs w:val="24"/>
        </w:rPr>
        <w:t>以下条目已被《</w:t>
      </w:r>
      <w:r>
        <w:rPr>
          <w:rFonts w:ascii="Times New Roman" w:hAnsi="Times New Roman" w:eastAsia="Times New Roman" w:cs="Times New Roman"/>
          <w:b/>
          <w:bCs/>
          <w:color w:val="0563C1"/>
          <w:spacing w:val="-3"/>
          <w:sz w:val="24"/>
          <w:szCs w:val="24"/>
          <w:u w:val="single" w:color="auto"/>
        </w:rPr>
        <w:t>GB55031-2022</w:t>
      </w:r>
      <w:r>
        <w:rPr>
          <w:rFonts w:ascii="Times New Roman" w:hAnsi="Times New Roman" w:eastAsia="Times New Roman" w:cs="Times New Roman"/>
          <w:b/>
          <w:bCs/>
          <w:color w:val="0563C1"/>
          <w:spacing w:val="33"/>
          <w:w w:val="101"/>
          <w:sz w:val="24"/>
          <w:szCs w:val="24"/>
          <w:u w:val="single" w:color="auto"/>
        </w:rPr>
        <w:t xml:space="preserve"> </w:t>
      </w:r>
      <w:r>
        <w:rPr>
          <w:rFonts w:ascii="宋体" w:hAnsi="宋体" w:eastAsia="宋体" w:cs="宋体"/>
          <w:b/>
          <w:bCs/>
          <w:color w:val="0563C1"/>
          <w:spacing w:val="-3"/>
          <w:sz w:val="24"/>
          <w:szCs w:val="24"/>
          <w:u w:val="single" w:color="auto"/>
        </w:rPr>
        <w:t>民用建筑通用规范</w:t>
      </w:r>
      <w:r>
        <w:rPr>
          <w:rFonts w:ascii="宋体" w:hAnsi="宋体" w:eastAsia="宋体" w:cs="宋体"/>
          <w:b/>
          <w:bCs/>
          <w:color w:val="EE0000"/>
          <w:spacing w:val="-3"/>
          <w:sz w:val="24"/>
          <w:szCs w:val="24"/>
        </w:rPr>
        <w:t>》替代</w:t>
      </w:r>
    </w:p>
    <w:p w14:paraId="30C1C5DC">
      <w:pPr>
        <w:spacing w:before="155" w:line="220" w:lineRule="auto"/>
        <w:ind w:left="105"/>
        <w:rPr>
          <w:rFonts w:ascii="宋体" w:hAnsi="宋体" w:eastAsia="宋体" w:cs="宋体"/>
          <w:sz w:val="24"/>
          <w:szCs w:val="24"/>
        </w:rPr>
      </w:pPr>
      <w:r>
        <w:rPr>
          <w:rFonts w:ascii="Times New Roman" w:hAnsi="Times New Roman" w:eastAsia="Times New Roman" w:cs="Times New Roman"/>
          <w:strike/>
          <w:sz w:val="24"/>
          <w:szCs w:val="24"/>
        </w:rPr>
        <w:t xml:space="preserve">3.1.2    </w:t>
      </w:r>
      <w:r>
        <w:rPr>
          <w:rFonts w:ascii="宋体" w:hAnsi="宋体" w:eastAsia="宋体" w:cs="宋体"/>
          <w:strike/>
          <w:sz w:val="24"/>
          <w:szCs w:val="24"/>
        </w:rPr>
        <w:t>门窗工程有下列情况之</w:t>
      </w:r>
      <w:r>
        <w:rPr>
          <w:rFonts w:ascii="宋体" w:hAnsi="宋体" w:eastAsia="宋体" w:cs="宋体"/>
          <w:sz w:val="24"/>
          <w:szCs w:val="24"/>
        </w:rPr>
        <w:t>一</w:t>
      </w:r>
      <w:r>
        <w:rPr>
          <w:rFonts w:ascii="宋体" w:hAnsi="宋体" w:eastAsia="宋体" w:cs="宋体"/>
          <w:strike/>
          <w:spacing w:val="-1"/>
          <w:sz w:val="24"/>
          <w:szCs w:val="24"/>
        </w:rPr>
        <w:t>时，必须使用安全玻璃：</w:t>
      </w:r>
    </w:p>
    <w:p w14:paraId="0745424D">
      <w:pPr>
        <w:spacing w:before="154" w:line="220" w:lineRule="auto"/>
        <w:ind w:left="604"/>
        <w:rPr>
          <w:rFonts w:ascii="宋体" w:hAnsi="宋体" w:eastAsia="宋体" w:cs="宋体"/>
          <w:sz w:val="24"/>
          <w:szCs w:val="24"/>
        </w:rPr>
      </w:pPr>
      <w:r>
        <w:rPr>
          <w:rFonts w:ascii="Times New Roman" w:hAnsi="Times New Roman" w:eastAsia="Times New Roman" w:cs="Times New Roman"/>
          <w:strike/>
          <w:spacing w:val="-5"/>
          <w:sz w:val="24"/>
          <w:szCs w:val="24"/>
        </w:rPr>
        <w:t xml:space="preserve">1  </w:t>
      </w:r>
      <w:r>
        <w:rPr>
          <w:rFonts w:ascii="宋体" w:hAnsi="宋体" w:eastAsia="宋体" w:cs="宋体"/>
          <w:strike/>
          <w:spacing w:val="-5"/>
          <w:sz w:val="24"/>
          <w:szCs w:val="24"/>
        </w:rPr>
        <w:t>面积大于</w:t>
      </w:r>
      <w:r>
        <w:rPr>
          <w:rFonts w:ascii="宋体" w:hAnsi="宋体" w:eastAsia="宋体" w:cs="宋体"/>
          <w:strike/>
          <w:spacing w:val="-18"/>
          <w:sz w:val="24"/>
          <w:szCs w:val="24"/>
        </w:rPr>
        <w:t xml:space="preserve"> </w:t>
      </w:r>
      <w:r>
        <w:rPr>
          <w:rFonts w:ascii="Times New Roman" w:hAnsi="Times New Roman" w:eastAsia="Times New Roman" w:cs="Times New Roman"/>
          <w:strike/>
          <w:spacing w:val="-5"/>
          <w:sz w:val="24"/>
          <w:szCs w:val="24"/>
        </w:rPr>
        <w:t>1</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5m</w:t>
      </w:r>
      <w:r>
        <w:rPr>
          <w:rFonts w:ascii="Times New Roman" w:hAnsi="Times New Roman" w:eastAsia="Times New Roman" w:cs="Times New Roman"/>
          <w:strike/>
          <w:spacing w:val="-5"/>
          <w:position w:val="8"/>
          <w:sz w:val="15"/>
          <w:szCs w:val="15"/>
        </w:rPr>
        <w:t xml:space="preserve">2  </w:t>
      </w:r>
      <w:r>
        <w:rPr>
          <w:rFonts w:ascii="宋体" w:hAnsi="宋体" w:eastAsia="宋体" w:cs="宋体"/>
          <w:strike/>
          <w:spacing w:val="-5"/>
          <w:sz w:val="24"/>
          <w:szCs w:val="24"/>
        </w:rPr>
        <w:t>的窗玻璃；</w:t>
      </w:r>
    </w:p>
    <w:p w14:paraId="39AC185F">
      <w:pPr>
        <w:spacing w:before="153" w:line="220" w:lineRule="auto"/>
        <w:ind w:left="581"/>
        <w:rPr>
          <w:rFonts w:ascii="宋体" w:hAnsi="宋体" w:eastAsia="宋体" w:cs="宋体"/>
          <w:sz w:val="24"/>
          <w:szCs w:val="24"/>
        </w:rPr>
      </w:pPr>
      <w:r>
        <w:rPr>
          <w:rFonts w:ascii="Times New Roman" w:hAnsi="Times New Roman" w:eastAsia="Times New Roman" w:cs="Times New Roman"/>
          <w:strike/>
          <w:spacing w:val="-3"/>
          <w:sz w:val="24"/>
          <w:szCs w:val="24"/>
        </w:rPr>
        <w:t xml:space="preserve">2  </w:t>
      </w:r>
      <w:r>
        <w:rPr>
          <w:rFonts w:ascii="宋体" w:hAnsi="宋体" w:eastAsia="宋体" w:cs="宋体"/>
          <w:strike/>
          <w:spacing w:val="-3"/>
          <w:sz w:val="24"/>
          <w:szCs w:val="24"/>
        </w:rPr>
        <w:t>距离可踏面高度</w:t>
      </w:r>
      <w:r>
        <w:rPr>
          <w:rFonts w:ascii="宋体" w:hAnsi="宋体" w:eastAsia="宋体" w:cs="宋体"/>
          <w:strike/>
          <w:spacing w:val="-40"/>
          <w:sz w:val="24"/>
          <w:szCs w:val="24"/>
        </w:rPr>
        <w:t xml:space="preserve"> </w:t>
      </w:r>
      <w:r>
        <w:rPr>
          <w:rFonts w:ascii="Times New Roman" w:hAnsi="Times New Roman" w:eastAsia="Times New Roman" w:cs="Times New Roman"/>
          <w:strike/>
          <w:spacing w:val="-3"/>
          <w:sz w:val="24"/>
          <w:szCs w:val="24"/>
        </w:rPr>
        <w:t>900mm</w:t>
      </w:r>
      <w:r>
        <w:rPr>
          <w:rFonts w:ascii="Times New Roman" w:hAnsi="Times New Roman" w:eastAsia="Times New Roman" w:cs="Times New Roman"/>
          <w:strike/>
          <w:spacing w:val="37"/>
          <w:sz w:val="24"/>
          <w:szCs w:val="24"/>
        </w:rPr>
        <w:t xml:space="preserve"> </w:t>
      </w:r>
      <w:r>
        <w:rPr>
          <w:rFonts w:ascii="宋体" w:hAnsi="宋体" w:eastAsia="宋体" w:cs="宋体"/>
          <w:strike/>
          <w:spacing w:val="-3"/>
          <w:sz w:val="24"/>
          <w:szCs w:val="24"/>
        </w:rPr>
        <w:t>以下的玻璃；</w:t>
      </w:r>
    </w:p>
    <w:p w14:paraId="2A09CAD5">
      <w:pPr>
        <w:spacing w:before="155" w:line="219" w:lineRule="auto"/>
        <w:ind w:left="585"/>
        <w:rPr>
          <w:rFonts w:ascii="宋体" w:hAnsi="宋体" w:eastAsia="宋体" w:cs="宋体"/>
          <w:sz w:val="24"/>
          <w:szCs w:val="24"/>
        </w:rPr>
      </w:pP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与水平夹角不大于</w:t>
      </w:r>
      <w:r>
        <w:rPr>
          <w:rFonts w:ascii="宋体" w:hAnsi="宋体" w:eastAsia="宋体" w:cs="宋体"/>
          <w:strike/>
          <w:spacing w:val="-33"/>
          <w:sz w:val="24"/>
          <w:szCs w:val="24"/>
        </w:rPr>
        <w:t xml:space="preserve"> </w:t>
      </w:r>
      <w:r>
        <w:rPr>
          <w:rFonts w:ascii="Times New Roman" w:hAnsi="Times New Roman" w:eastAsia="Times New Roman" w:cs="Times New Roman"/>
          <w:strike/>
          <w:spacing w:val="-2"/>
          <w:sz w:val="24"/>
          <w:szCs w:val="24"/>
        </w:rPr>
        <w:t>75</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°的倾斜窗，包括天窗、采光顶等在内的顶棚；</w:t>
      </w:r>
    </w:p>
    <w:p w14:paraId="0F8A9A71">
      <w:pPr>
        <w:spacing w:before="154" w:line="220" w:lineRule="auto"/>
        <w:ind w:left="579"/>
        <w:rPr>
          <w:rFonts w:ascii="宋体" w:hAnsi="宋体" w:eastAsia="宋体" w:cs="宋体"/>
          <w:sz w:val="24"/>
          <w:szCs w:val="24"/>
        </w:rPr>
      </w:pPr>
      <w:r>
        <w:rPr>
          <w:rFonts w:ascii="Times New Roman" w:hAnsi="Times New Roman" w:eastAsia="Times New Roman" w:cs="Times New Roman"/>
          <w:strike/>
          <w:spacing w:val="-2"/>
          <w:sz w:val="24"/>
          <w:szCs w:val="24"/>
        </w:rPr>
        <w:t xml:space="preserve">4 7 </w:t>
      </w:r>
      <w:r>
        <w:rPr>
          <w:rFonts w:ascii="宋体" w:hAnsi="宋体" w:eastAsia="宋体" w:cs="宋体"/>
          <w:strike/>
          <w:spacing w:val="-2"/>
          <w:sz w:val="24"/>
          <w:szCs w:val="24"/>
        </w:rPr>
        <w:t>层及</w:t>
      </w:r>
      <w:r>
        <w:rPr>
          <w:rFonts w:ascii="宋体" w:hAnsi="宋体" w:eastAsia="宋体" w:cs="宋体"/>
          <w:strike/>
          <w:spacing w:val="-42"/>
          <w:sz w:val="24"/>
          <w:szCs w:val="24"/>
        </w:rPr>
        <w:t xml:space="preserve"> </w:t>
      </w:r>
      <w:r>
        <w:rPr>
          <w:rFonts w:ascii="Times New Roman" w:hAnsi="Times New Roman" w:eastAsia="Times New Roman" w:cs="Times New Roman"/>
          <w:strike/>
          <w:spacing w:val="-2"/>
          <w:sz w:val="24"/>
          <w:szCs w:val="24"/>
        </w:rPr>
        <w:t>7</w:t>
      </w:r>
      <w:r>
        <w:rPr>
          <w:rFonts w:ascii="Times New Roman" w:hAnsi="Times New Roman" w:eastAsia="Times New Roman" w:cs="Times New Roman"/>
          <w:strike/>
          <w:spacing w:val="10"/>
          <w:sz w:val="24"/>
          <w:szCs w:val="24"/>
        </w:rPr>
        <w:t xml:space="preserve"> </w:t>
      </w:r>
      <w:r>
        <w:rPr>
          <w:rFonts w:ascii="宋体" w:hAnsi="宋体" w:eastAsia="宋体" w:cs="宋体"/>
          <w:strike/>
          <w:spacing w:val="-2"/>
          <w:sz w:val="24"/>
          <w:szCs w:val="24"/>
        </w:rPr>
        <w:t>层以上建筑外开窗。</w:t>
      </w:r>
    </w:p>
    <w:p w14:paraId="035BDA30">
      <w:pPr>
        <w:spacing w:before="155" w:line="220" w:lineRule="auto"/>
        <w:ind w:left="106"/>
        <w:rPr>
          <w:rFonts w:ascii="宋体" w:hAnsi="宋体" w:eastAsia="宋体" w:cs="宋体"/>
          <w:sz w:val="24"/>
          <w:szCs w:val="24"/>
        </w:rPr>
      </w:pPr>
      <w:r>
        <w:rPr>
          <w:rFonts w:ascii="Times New Roman" w:hAnsi="Times New Roman" w:eastAsia="Times New Roman" w:cs="Times New Roman"/>
          <w:strike/>
          <w:sz w:val="24"/>
          <w:szCs w:val="24"/>
        </w:rPr>
        <w:t xml:space="preserve">6.2.8    </w:t>
      </w:r>
      <w:r>
        <w:rPr>
          <w:rFonts w:ascii="宋体" w:hAnsi="宋体" w:eastAsia="宋体" w:cs="宋体"/>
          <w:strike/>
          <w:sz w:val="24"/>
          <w:szCs w:val="24"/>
        </w:rPr>
        <w:t>建筑外窗的安装必须牢固可靠，在砖砌体上安</w:t>
      </w:r>
      <w:r>
        <w:rPr>
          <w:rFonts w:ascii="宋体" w:hAnsi="宋体" w:eastAsia="宋体" w:cs="宋体"/>
          <w:strike/>
          <w:spacing w:val="-1"/>
          <w:sz w:val="24"/>
          <w:szCs w:val="24"/>
        </w:rPr>
        <w:t>装时，严禁用射钉固定。</w:t>
      </w:r>
    </w:p>
    <w:p w14:paraId="1002152A">
      <w:pPr>
        <w:spacing w:before="155" w:line="220" w:lineRule="auto"/>
        <w:ind w:left="106"/>
        <w:rPr>
          <w:rFonts w:ascii="宋体" w:hAnsi="宋体" w:eastAsia="宋体" w:cs="宋体"/>
          <w:sz w:val="24"/>
          <w:szCs w:val="24"/>
        </w:rPr>
      </w:pPr>
      <w:r>
        <w:rPr>
          <w:rFonts w:ascii="Times New Roman" w:hAnsi="Times New Roman" w:eastAsia="Times New Roman" w:cs="Times New Roman"/>
          <w:strike/>
          <w:spacing w:val="-1"/>
          <w:sz w:val="24"/>
          <w:szCs w:val="24"/>
        </w:rPr>
        <w:t xml:space="preserve">6.2.19    </w:t>
      </w:r>
      <w:r>
        <w:rPr>
          <w:rFonts w:ascii="宋体" w:hAnsi="宋体" w:eastAsia="宋体" w:cs="宋体"/>
          <w:strike/>
          <w:spacing w:val="-1"/>
          <w:sz w:val="24"/>
          <w:szCs w:val="24"/>
        </w:rPr>
        <w:t>推拉门窗扇必须有防脱落装置。</w:t>
      </w:r>
    </w:p>
    <w:p w14:paraId="1EABA025">
      <w:pPr>
        <w:spacing w:before="152" w:line="279" w:lineRule="auto"/>
        <w:ind w:left="105" w:right="168"/>
        <w:rPr>
          <w:rFonts w:ascii="宋体" w:hAnsi="宋体" w:eastAsia="宋体" w:cs="宋体"/>
          <w:sz w:val="24"/>
          <w:szCs w:val="24"/>
        </w:rPr>
      </w:pPr>
      <w:r>
        <w:rPr>
          <w:rFonts w:ascii="Times New Roman" w:hAnsi="Times New Roman" w:eastAsia="Times New Roman" w:cs="Times New Roman"/>
          <w:strike/>
          <w:sz w:val="24"/>
          <w:szCs w:val="24"/>
        </w:rPr>
        <w:t xml:space="preserve">6.2.23    </w:t>
      </w:r>
      <w:r>
        <w:rPr>
          <w:rFonts w:ascii="宋体" w:hAnsi="宋体" w:eastAsia="宋体" w:cs="宋体"/>
          <w:strike/>
          <w:sz w:val="24"/>
          <w:szCs w:val="24"/>
        </w:rPr>
        <w:t>安装滑撑时，紧固螺钉必须使用不锈钢材质，并应</w:t>
      </w:r>
      <w:r>
        <w:rPr>
          <w:rFonts w:ascii="宋体" w:hAnsi="宋体" w:eastAsia="宋体" w:cs="宋体"/>
          <w:strike/>
          <w:spacing w:val="-1"/>
          <w:sz w:val="24"/>
          <w:szCs w:val="24"/>
        </w:rPr>
        <w:t>与框扇增强型钢或内衬局部</w:t>
      </w:r>
      <w:r>
        <w:rPr>
          <w:rFonts w:ascii="宋体" w:hAnsi="宋体" w:eastAsia="宋体" w:cs="宋体"/>
          <w:sz w:val="24"/>
          <w:szCs w:val="24"/>
        </w:rPr>
        <w:t xml:space="preserve"> </w:t>
      </w:r>
      <w:r>
        <w:rPr>
          <w:rFonts w:ascii="宋体" w:hAnsi="宋体" w:eastAsia="宋体" w:cs="宋体"/>
          <w:strike/>
          <w:spacing w:val="-1"/>
          <w:sz w:val="24"/>
          <w:szCs w:val="24"/>
        </w:rPr>
        <w:t>加强钢板可靠连接。螺钉与框扇连接处应进行防水密封处理。</w:t>
      </w:r>
    </w:p>
    <w:p w14:paraId="18D76026">
      <w:pPr>
        <w:spacing w:before="155" w:line="279" w:lineRule="auto"/>
        <w:ind w:left="104" w:right="288"/>
        <w:rPr>
          <w:rFonts w:ascii="宋体" w:hAnsi="宋体" w:eastAsia="宋体" w:cs="宋体"/>
          <w:sz w:val="24"/>
          <w:szCs w:val="24"/>
        </w:rPr>
      </w:pPr>
      <w:r>
        <w:rPr>
          <w:rFonts w:ascii="Times New Roman" w:hAnsi="Times New Roman" w:eastAsia="Times New Roman" w:cs="Times New Roman"/>
          <w:strike/>
          <w:sz w:val="24"/>
          <w:szCs w:val="24"/>
        </w:rPr>
        <w:t xml:space="preserve">7.1.2    </w:t>
      </w:r>
      <w:r>
        <w:rPr>
          <w:rFonts w:ascii="宋体" w:hAnsi="宋体" w:eastAsia="宋体" w:cs="宋体"/>
          <w:strike/>
          <w:sz w:val="24"/>
          <w:szCs w:val="24"/>
        </w:rPr>
        <w:t>安装门窗、玻璃或擦拭玻璃时，严禁手攀窗框、窗扇、</w:t>
      </w:r>
      <w:r>
        <w:rPr>
          <w:rFonts w:ascii="宋体" w:hAnsi="宋体" w:eastAsia="宋体" w:cs="宋体"/>
          <w:strike/>
          <w:spacing w:val="-1"/>
          <w:sz w:val="24"/>
          <w:szCs w:val="24"/>
        </w:rPr>
        <w:t>窗梃和窗撑；操作时，</w:t>
      </w:r>
      <w:r>
        <w:rPr>
          <w:rFonts w:ascii="宋体" w:hAnsi="宋体" w:eastAsia="宋体" w:cs="宋体"/>
          <w:sz w:val="24"/>
          <w:szCs w:val="24"/>
        </w:rPr>
        <w:t xml:space="preserve"> </w:t>
      </w:r>
      <w:r>
        <w:rPr>
          <w:rFonts w:ascii="宋体" w:hAnsi="宋体" w:eastAsia="宋体" w:cs="宋体"/>
          <w:strike/>
          <w:sz w:val="24"/>
          <w:szCs w:val="24"/>
        </w:rPr>
        <w:t>应系好安全带，且安全带必须有坚固牢靠的挂点，严</w:t>
      </w:r>
      <w:r>
        <w:rPr>
          <w:rFonts w:ascii="宋体" w:hAnsi="宋体" w:eastAsia="宋体" w:cs="宋体"/>
          <w:strike/>
          <w:spacing w:val="-1"/>
          <w:sz w:val="24"/>
          <w:szCs w:val="24"/>
        </w:rPr>
        <w:t>禁把安全带挂在窗体上。</w:t>
      </w:r>
    </w:p>
    <w:p w14:paraId="46AD22EE">
      <w:pPr>
        <w:spacing w:before="202" w:line="226" w:lineRule="auto"/>
        <w:ind w:left="106"/>
        <w:outlineLvl w:val="1"/>
        <w:rPr>
          <w:rFonts w:ascii="宋体" w:hAnsi="宋体" w:eastAsia="宋体" w:cs="宋体"/>
          <w:sz w:val="27"/>
          <w:szCs w:val="27"/>
        </w:rPr>
      </w:pPr>
      <w:bookmarkStart w:id="60" w:name="bookmark107"/>
      <w:bookmarkEnd w:id="60"/>
      <w:r>
        <w:rPr>
          <w:rFonts w:ascii="Times New Roman" w:hAnsi="Times New Roman" w:eastAsia="Times New Roman" w:cs="Times New Roman"/>
          <w:b/>
          <w:bCs/>
          <w:spacing w:val="5"/>
          <w:sz w:val="27"/>
          <w:szCs w:val="27"/>
        </w:rPr>
        <w:t>6.</w:t>
      </w:r>
      <w:r>
        <w:rPr>
          <w:rFonts w:ascii="Times New Roman" w:hAnsi="Times New Roman" w:eastAsia="Times New Roman" w:cs="Times New Roman"/>
          <w:b/>
          <w:bCs/>
          <w:spacing w:val="-29"/>
          <w:sz w:val="27"/>
          <w:szCs w:val="27"/>
        </w:rPr>
        <w:t xml:space="preserve"> </w:t>
      </w:r>
      <w:r>
        <w:rPr>
          <w:rFonts w:ascii="宋体" w:hAnsi="宋体" w:eastAsia="宋体" w:cs="宋体"/>
          <w:b/>
          <w:bCs/>
          <w:spacing w:val="5"/>
          <w:sz w:val="27"/>
          <w:szCs w:val="27"/>
        </w:rPr>
        <w:t>《铝合金门窗工程技术规范》——</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5"/>
          <w:sz w:val="27"/>
          <w:szCs w:val="27"/>
        </w:rPr>
        <w:t>214-2010</w:t>
      </w:r>
      <w:r>
        <w:rPr>
          <w:rFonts w:ascii="Times New Roman" w:hAnsi="Times New Roman" w:eastAsia="Times New Roman" w:cs="Times New Roman"/>
          <w:b/>
          <w:bCs/>
          <w:spacing w:val="-45"/>
          <w:sz w:val="27"/>
          <w:szCs w:val="27"/>
        </w:rPr>
        <w:t xml:space="preserve"> </w:t>
      </w:r>
      <w:r>
        <w:rPr>
          <w:rFonts w:ascii="宋体" w:hAnsi="宋体" w:eastAsia="宋体" w:cs="宋体"/>
          <w:b/>
          <w:bCs/>
          <w:spacing w:val="5"/>
          <w:sz w:val="27"/>
          <w:szCs w:val="27"/>
        </w:rPr>
        <w:t>【强条已废】</w:t>
      </w:r>
    </w:p>
    <w:p w14:paraId="31F7BA35">
      <w:pPr>
        <w:spacing w:before="286" w:line="220" w:lineRule="auto"/>
        <w:ind w:left="572"/>
        <w:rPr>
          <w:rFonts w:ascii="宋体" w:hAnsi="宋体" w:eastAsia="宋体" w:cs="宋体"/>
          <w:sz w:val="24"/>
          <w:szCs w:val="24"/>
        </w:rPr>
      </w:pPr>
      <w:r>
        <w:rPr>
          <w:rFonts w:ascii="宋体" w:hAnsi="宋体" w:eastAsia="宋体" w:cs="宋体"/>
          <w:b/>
          <w:bCs/>
          <w:color w:val="EE0000"/>
          <w:spacing w:val="-3"/>
          <w:sz w:val="24"/>
          <w:szCs w:val="24"/>
        </w:rPr>
        <w:t>以下条目已被《</w:t>
      </w:r>
      <w:r>
        <w:rPr>
          <w:rFonts w:ascii="Times New Roman" w:hAnsi="Times New Roman" w:eastAsia="Times New Roman" w:cs="Times New Roman"/>
          <w:b/>
          <w:bCs/>
          <w:color w:val="0563C1"/>
          <w:spacing w:val="-3"/>
          <w:sz w:val="24"/>
          <w:szCs w:val="24"/>
          <w:u w:val="single" w:color="auto"/>
        </w:rPr>
        <w:t>GB55031-2022</w:t>
      </w:r>
      <w:r>
        <w:rPr>
          <w:rFonts w:ascii="Times New Roman" w:hAnsi="Times New Roman" w:eastAsia="Times New Roman" w:cs="Times New Roman"/>
          <w:b/>
          <w:bCs/>
          <w:color w:val="0563C1"/>
          <w:spacing w:val="33"/>
          <w:w w:val="101"/>
          <w:sz w:val="24"/>
          <w:szCs w:val="24"/>
          <w:u w:val="single" w:color="auto"/>
        </w:rPr>
        <w:t xml:space="preserve"> </w:t>
      </w:r>
      <w:r>
        <w:rPr>
          <w:rFonts w:ascii="宋体" w:hAnsi="宋体" w:eastAsia="宋体" w:cs="宋体"/>
          <w:b/>
          <w:bCs/>
          <w:color w:val="0563C1"/>
          <w:spacing w:val="-3"/>
          <w:sz w:val="24"/>
          <w:szCs w:val="24"/>
          <w:u w:val="single" w:color="auto"/>
        </w:rPr>
        <w:t>民用建筑通用规范</w:t>
      </w:r>
      <w:r>
        <w:rPr>
          <w:rFonts w:ascii="宋体" w:hAnsi="宋体" w:eastAsia="宋体" w:cs="宋体"/>
          <w:b/>
          <w:bCs/>
          <w:color w:val="EE0000"/>
          <w:spacing w:val="-3"/>
          <w:sz w:val="24"/>
          <w:szCs w:val="24"/>
        </w:rPr>
        <w:t>》替代</w:t>
      </w:r>
    </w:p>
    <w:p w14:paraId="0FD9DAF1">
      <w:pPr>
        <w:spacing w:before="157" w:line="298" w:lineRule="auto"/>
        <w:ind w:left="111" w:right="288" w:hanging="6"/>
        <w:rPr>
          <w:rFonts w:ascii="宋体" w:hAnsi="宋体" w:eastAsia="宋体" w:cs="宋体"/>
          <w:sz w:val="24"/>
          <w:szCs w:val="24"/>
        </w:rPr>
      </w:pPr>
      <w:r>
        <w:rPr>
          <w:rFonts w:ascii="Times New Roman" w:hAnsi="Times New Roman" w:eastAsia="Times New Roman" w:cs="Times New Roman"/>
          <w:strike/>
          <w:sz w:val="24"/>
          <w:szCs w:val="24"/>
        </w:rPr>
        <w:t xml:space="preserve">3.1.2    </w:t>
      </w:r>
      <w:r>
        <w:rPr>
          <w:rFonts w:ascii="宋体" w:hAnsi="宋体" w:eastAsia="宋体" w:cs="宋体"/>
          <w:strike/>
          <w:sz w:val="24"/>
          <w:szCs w:val="24"/>
        </w:rPr>
        <w:t>铝合金门窗主型材的壁厚应经计算或试验确定，除压</w:t>
      </w:r>
      <w:r>
        <w:rPr>
          <w:rFonts w:ascii="宋体" w:hAnsi="宋体" w:eastAsia="宋体" w:cs="宋体"/>
          <w:strike/>
          <w:spacing w:val="-1"/>
          <w:sz w:val="24"/>
          <w:szCs w:val="24"/>
        </w:rPr>
        <w:t>条、扣板等需要弹性装配</w:t>
      </w:r>
      <w:r>
        <w:rPr>
          <w:rFonts w:ascii="宋体" w:hAnsi="宋体" w:eastAsia="宋体" w:cs="宋体"/>
          <w:sz w:val="24"/>
          <w:szCs w:val="24"/>
        </w:rPr>
        <w:t xml:space="preserve"> </w:t>
      </w:r>
      <w:r>
        <w:rPr>
          <w:rFonts w:ascii="宋体" w:hAnsi="宋体" w:eastAsia="宋体" w:cs="宋体"/>
          <w:strike/>
          <w:spacing w:val="-2"/>
          <w:sz w:val="24"/>
          <w:szCs w:val="24"/>
        </w:rPr>
        <w:t>的型材外，门用主型材主要受力部位基材截面最小实测壁厚不应小于</w:t>
      </w:r>
      <w:r>
        <w:rPr>
          <w:rFonts w:ascii="宋体" w:hAnsi="宋体" w:eastAsia="宋体" w:cs="宋体"/>
          <w:strike/>
          <w:spacing w:val="-43"/>
          <w:sz w:val="24"/>
          <w:szCs w:val="24"/>
        </w:rPr>
        <w:t xml:space="preserve"> </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0mm</w:t>
      </w:r>
      <w:r>
        <w:rPr>
          <w:rFonts w:ascii="Times New Roman" w:hAnsi="Times New Roman" w:eastAsia="Times New Roman" w:cs="Times New Roman"/>
          <w:strike/>
          <w:spacing w:val="-31"/>
          <w:sz w:val="24"/>
          <w:szCs w:val="24"/>
        </w:rPr>
        <w:t xml:space="preserve"> </w:t>
      </w:r>
      <w:r>
        <w:rPr>
          <w:rFonts w:ascii="宋体" w:hAnsi="宋体" w:eastAsia="宋体" w:cs="宋体"/>
          <w:strike/>
          <w:spacing w:val="-2"/>
          <w:sz w:val="24"/>
          <w:szCs w:val="24"/>
        </w:rPr>
        <w:t>，窗用主</w:t>
      </w:r>
      <w:r>
        <w:rPr>
          <w:rFonts w:ascii="宋体" w:hAnsi="宋体" w:eastAsia="宋体" w:cs="宋体"/>
          <w:sz w:val="24"/>
          <w:szCs w:val="24"/>
        </w:rPr>
        <w:t xml:space="preserve"> </w:t>
      </w:r>
      <w:r>
        <w:rPr>
          <w:rFonts w:ascii="宋体" w:hAnsi="宋体" w:eastAsia="宋体" w:cs="宋体"/>
          <w:strike/>
          <w:spacing w:val="-2"/>
          <w:sz w:val="24"/>
          <w:szCs w:val="24"/>
        </w:rPr>
        <w:t>型材主要受力部位基材截面最小实测壁厚不应小于</w:t>
      </w:r>
      <w:r>
        <w:rPr>
          <w:rFonts w:ascii="宋体" w:hAnsi="宋体" w:eastAsia="宋体" w:cs="宋体"/>
          <w:strike/>
          <w:spacing w:val="-22"/>
          <w:sz w:val="24"/>
          <w:szCs w:val="24"/>
        </w:rPr>
        <w:t xml:space="preserve"> </w:t>
      </w: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4mm</w:t>
      </w:r>
      <w:r>
        <w:rPr>
          <w:rFonts w:ascii="Times New Roman" w:hAnsi="Times New Roman" w:eastAsia="Times New Roman" w:cs="Times New Roman"/>
          <w:strike/>
          <w:spacing w:val="-28"/>
          <w:sz w:val="24"/>
          <w:szCs w:val="24"/>
        </w:rPr>
        <w:t xml:space="preserve"> </w:t>
      </w:r>
      <w:r>
        <w:rPr>
          <w:rFonts w:ascii="宋体" w:hAnsi="宋体" w:eastAsia="宋体" w:cs="宋体"/>
          <w:strike/>
          <w:spacing w:val="-2"/>
          <w:sz w:val="24"/>
          <w:szCs w:val="24"/>
        </w:rPr>
        <w:t>。</w:t>
      </w:r>
    </w:p>
    <w:p w14:paraId="06D7D8E4">
      <w:pPr>
        <w:spacing w:before="154" w:line="280" w:lineRule="auto"/>
        <w:ind w:left="108" w:right="168" w:hanging="9"/>
        <w:rPr>
          <w:rFonts w:ascii="宋体" w:hAnsi="宋体" w:eastAsia="宋体" w:cs="宋体"/>
          <w:sz w:val="24"/>
          <w:szCs w:val="24"/>
        </w:rPr>
      </w:pPr>
      <w:r>
        <w:rPr>
          <w:rFonts w:ascii="Times New Roman" w:hAnsi="Times New Roman" w:eastAsia="Times New Roman" w:cs="Times New Roman"/>
          <w:strike/>
          <w:sz w:val="24"/>
          <w:szCs w:val="24"/>
        </w:rPr>
        <w:t xml:space="preserve">4.12.1    </w:t>
      </w:r>
      <w:r>
        <w:rPr>
          <w:rFonts w:ascii="宋体" w:hAnsi="宋体" w:eastAsia="宋体" w:cs="宋体"/>
          <w:strike/>
          <w:sz w:val="24"/>
          <w:szCs w:val="24"/>
        </w:rPr>
        <w:t>人员流动性大的公共场所，易于受到人员和物体碰撞的铝合金门窗</w:t>
      </w:r>
      <w:r>
        <w:rPr>
          <w:rFonts w:ascii="宋体" w:hAnsi="宋体" w:eastAsia="宋体" w:cs="宋体"/>
          <w:strike/>
          <w:spacing w:val="-1"/>
          <w:sz w:val="24"/>
          <w:szCs w:val="24"/>
        </w:rPr>
        <w:t>应采用安全</w:t>
      </w:r>
      <w:r>
        <w:rPr>
          <w:rFonts w:ascii="宋体" w:hAnsi="宋体" w:eastAsia="宋体" w:cs="宋体"/>
          <w:sz w:val="24"/>
          <w:szCs w:val="24"/>
        </w:rPr>
        <w:t xml:space="preserve"> </w:t>
      </w:r>
      <w:r>
        <w:rPr>
          <w:rFonts w:ascii="宋体" w:hAnsi="宋体" w:eastAsia="宋体" w:cs="宋体"/>
          <w:strike/>
          <w:spacing w:val="-3"/>
          <w:sz w:val="24"/>
          <w:szCs w:val="24"/>
        </w:rPr>
        <w:t>玻璃。</w:t>
      </w:r>
    </w:p>
    <w:p w14:paraId="707AD4E5">
      <w:pPr>
        <w:spacing w:line="280" w:lineRule="auto"/>
        <w:rPr>
          <w:rFonts w:ascii="宋体" w:hAnsi="宋体" w:eastAsia="宋体" w:cs="宋体"/>
          <w:sz w:val="24"/>
          <w:szCs w:val="24"/>
        </w:rPr>
        <w:sectPr>
          <w:footerReference r:id="rId46" w:type="default"/>
          <w:pgSz w:w="11907" w:h="16839"/>
          <w:pgMar w:top="400" w:right="1321" w:bottom="743" w:left="1321" w:header="0" w:footer="582" w:gutter="0"/>
          <w:cols w:space="720" w:num="1"/>
        </w:sectPr>
      </w:pPr>
    </w:p>
    <w:p w14:paraId="483960BA">
      <w:pPr>
        <w:pStyle w:val="2"/>
        <w:spacing w:line="303" w:lineRule="auto"/>
      </w:pPr>
    </w:p>
    <w:p w14:paraId="66E9D1CE">
      <w:pPr>
        <w:pStyle w:val="2"/>
        <w:spacing w:line="303" w:lineRule="auto"/>
      </w:pPr>
    </w:p>
    <w:p w14:paraId="18D66C80">
      <w:pPr>
        <w:pStyle w:val="2"/>
        <w:spacing w:line="303" w:lineRule="auto"/>
      </w:pPr>
    </w:p>
    <w:p w14:paraId="110BB520">
      <w:pPr>
        <w:spacing w:before="78"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4.12.2    </w:t>
      </w:r>
      <w:r>
        <w:rPr>
          <w:rFonts w:ascii="宋体" w:hAnsi="宋体" w:eastAsia="宋体" w:cs="宋体"/>
          <w:strike/>
          <w:sz w:val="24"/>
          <w:szCs w:val="24"/>
        </w:rPr>
        <w:t>建筑物中下列部位的铝合金门窗应使用</w:t>
      </w:r>
      <w:r>
        <w:rPr>
          <w:rFonts w:ascii="宋体" w:hAnsi="宋体" w:eastAsia="宋体" w:cs="宋体"/>
          <w:strike/>
          <w:spacing w:val="-1"/>
          <w:sz w:val="24"/>
          <w:szCs w:val="24"/>
        </w:rPr>
        <w:t>安全玻璃：</w:t>
      </w:r>
    </w:p>
    <w:p w14:paraId="4DA44D7D">
      <w:pPr>
        <w:spacing w:before="154" w:line="220" w:lineRule="auto"/>
        <w:ind w:left="504"/>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七层及七层以上建筑物外开窗；</w:t>
      </w:r>
    </w:p>
    <w:p w14:paraId="28DF17B2">
      <w:pPr>
        <w:spacing w:before="153" w:line="220" w:lineRule="auto"/>
        <w:ind w:left="481"/>
        <w:rPr>
          <w:rFonts w:ascii="宋体" w:hAnsi="宋体" w:eastAsia="宋体" w:cs="宋体"/>
          <w:sz w:val="24"/>
          <w:szCs w:val="24"/>
        </w:rPr>
      </w:pP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面积大于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5m</w:t>
      </w:r>
      <w:r>
        <w:rPr>
          <w:rFonts w:ascii="Times New Roman" w:hAnsi="Times New Roman" w:eastAsia="Times New Roman" w:cs="Times New Roman"/>
          <w:strike/>
          <w:spacing w:val="-2"/>
          <w:position w:val="8"/>
          <w:sz w:val="15"/>
          <w:szCs w:val="15"/>
        </w:rPr>
        <w:t xml:space="preserve">2  </w:t>
      </w:r>
      <w:r>
        <w:rPr>
          <w:rFonts w:ascii="宋体" w:hAnsi="宋体" w:eastAsia="宋体" w:cs="宋体"/>
          <w:strike/>
          <w:spacing w:val="-2"/>
          <w:sz w:val="24"/>
          <w:szCs w:val="24"/>
        </w:rPr>
        <w:t>的窗玻璃或玻璃底边离最</w:t>
      </w:r>
      <w:r>
        <w:rPr>
          <w:rFonts w:ascii="宋体" w:hAnsi="宋体" w:eastAsia="宋体" w:cs="宋体"/>
          <w:strike/>
          <w:spacing w:val="-3"/>
          <w:sz w:val="24"/>
          <w:szCs w:val="24"/>
        </w:rPr>
        <w:t>终装修面小于</w:t>
      </w:r>
      <w:r>
        <w:rPr>
          <w:rFonts w:ascii="宋体" w:hAnsi="宋体" w:eastAsia="宋体" w:cs="宋体"/>
          <w:strike/>
          <w:spacing w:val="-49"/>
          <w:sz w:val="24"/>
          <w:szCs w:val="24"/>
        </w:rPr>
        <w:t xml:space="preserve"> </w:t>
      </w:r>
      <w:r>
        <w:rPr>
          <w:rFonts w:ascii="Times New Roman" w:hAnsi="Times New Roman" w:eastAsia="Times New Roman" w:cs="Times New Roman"/>
          <w:strike/>
          <w:spacing w:val="-3"/>
          <w:sz w:val="24"/>
          <w:szCs w:val="24"/>
        </w:rPr>
        <w:t>500mm</w:t>
      </w:r>
      <w:r>
        <w:rPr>
          <w:rFonts w:ascii="Times New Roman" w:hAnsi="Times New Roman" w:eastAsia="Times New Roman" w:cs="Times New Roman"/>
          <w:strike/>
          <w:spacing w:val="29"/>
          <w:sz w:val="24"/>
          <w:szCs w:val="24"/>
        </w:rPr>
        <w:t xml:space="preserve"> </w:t>
      </w:r>
      <w:r>
        <w:rPr>
          <w:rFonts w:ascii="宋体" w:hAnsi="宋体" w:eastAsia="宋体" w:cs="宋体"/>
          <w:strike/>
          <w:spacing w:val="-3"/>
          <w:sz w:val="24"/>
          <w:szCs w:val="24"/>
        </w:rPr>
        <w:t>的落地窗；</w:t>
      </w:r>
    </w:p>
    <w:p w14:paraId="47EC4394">
      <w:pPr>
        <w:spacing w:before="154" w:line="220"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倾斜安装的铝合金窗。</w:t>
      </w:r>
    </w:p>
    <w:p w14:paraId="0E42D7F8">
      <w:pPr>
        <w:spacing w:before="155" w:line="340" w:lineRule="auto"/>
        <w:ind w:left="16" w:right="119" w:hanging="16"/>
        <w:rPr>
          <w:rFonts w:ascii="宋体" w:hAnsi="宋体" w:eastAsia="宋体" w:cs="宋体"/>
          <w:sz w:val="24"/>
          <w:szCs w:val="24"/>
        </w:rPr>
      </w:pPr>
      <w:r>
        <w:rPr>
          <w:rFonts w:ascii="Times New Roman" w:hAnsi="Times New Roman" w:eastAsia="Times New Roman" w:cs="Times New Roman"/>
          <w:strike/>
          <w:sz w:val="24"/>
          <w:szCs w:val="24"/>
        </w:rPr>
        <w:t xml:space="preserve">4.12.4    </w:t>
      </w:r>
      <w:r>
        <w:rPr>
          <w:rFonts w:ascii="宋体" w:hAnsi="宋体" w:eastAsia="宋体" w:cs="宋体"/>
          <w:strike/>
          <w:sz w:val="24"/>
          <w:szCs w:val="24"/>
        </w:rPr>
        <w:t>铝合金推拉门、推拉窗的扇应有防止从室外侧拆卸的装置。推拉</w:t>
      </w:r>
      <w:r>
        <w:rPr>
          <w:rFonts w:ascii="宋体" w:hAnsi="宋体" w:eastAsia="宋体" w:cs="宋体"/>
          <w:strike/>
          <w:spacing w:val="-1"/>
          <w:sz w:val="24"/>
          <w:szCs w:val="24"/>
        </w:rPr>
        <w:t>窗用于外墙</w:t>
      </w:r>
      <w:r>
        <w:rPr>
          <w:rFonts w:ascii="宋体" w:hAnsi="宋体" w:eastAsia="宋体" w:cs="宋体"/>
          <w:sz w:val="24"/>
          <w:szCs w:val="24"/>
        </w:rPr>
        <w:t xml:space="preserve"> </w:t>
      </w:r>
      <w:r>
        <w:rPr>
          <w:rFonts w:ascii="宋体" w:hAnsi="宋体" w:eastAsia="宋体" w:cs="宋体"/>
          <w:strike/>
          <w:spacing w:val="-2"/>
          <w:sz w:val="24"/>
          <w:szCs w:val="24"/>
        </w:rPr>
        <w:t>时，应设置防止窗扇向室外脱落的装置。</w:t>
      </w:r>
    </w:p>
    <w:p w14:paraId="18B00E3C">
      <w:pPr>
        <w:spacing w:before="41" w:line="226" w:lineRule="auto"/>
        <w:ind w:left="5"/>
        <w:outlineLvl w:val="1"/>
        <w:rPr>
          <w:rFonts w:ascii="Times New Roman" w:hAnsi="Times New Roman" w:eastAsia="Times New Roman" w:cs="Times New Roman"/>
          <w:sz w:val="27"/>
          <w:szCs w:val="27"/>
        </w:rPr>
      </w:pPr>
      <w:bookmarkStart w:id="61" w:name="bookmark108"/>
      <w:bookmarkEnd w:id="61"/>
      <w:r>
        <w:rPr>
          <w:rFonts w:ascii="Times New Roman" w:hAnsi="Times New Roman" w:eastAsia="Times New Roman" w:cs="Times New Roman"/>
          <w:b/>
          <w:bCs/>
          <w:spacing w:val="3"/>
          <w:sz w:val="27"/>
          <w:szCs w:val="27"/>
        </w:rPr>
        <w:t>7.</w:t>
      </w:r>
      <w:r>
        <w:rPr>
          <w:rFonts w:ascii="Times New Roman" w:hAnsi="Times New Roman" w:eastAsia="Times New Roman" w:cs="Times New Roman"/>
          <w:b/>
          <w:bCs/>
          <w:spacing w:val="-39"/>
          <w:sz w:val="27"/>
          <w:szCs w:val="27"/>
        </w:rPr>
        <w:t xml:space="preserve"> </w:t>
      </w:r>
      <w:r>
        <w:rPr>
          <w:rFonts w:ascii="宋体" w:hAnsi="宋体" w:eastAsia="宋体" w:cs="宋体"/>
          <w:b/>
          <w:bCs/>
          <w:spacing w:val="3"/>
          <w:sz w:val="27"/>
          <w:szCs w:val="27"/>
        </w:rPr>
        <w:t>《建筑遮阳工程技术规范》</w:t>
      </w:r>
      <w:r>
        <w:rPr>
          <w:rFonts w:ascii="宋体" w:hAnsi="宋体" w:eastAsia="宋体" w:cs="宋体"/>
          <w:spacing w:val="-80"/>
          <w:sz w:val="27"/>
          <w:szCs w:val="27"/>
        </w:rPr>
        <w:t xml:space="preserve"> </w:t>
      </w:r>
      <w:r>
        <w:rPr>
          <w:rFonts w:ascii="宋体" w:hAnsi="宋体" w:eastAsia="宋体" w:cs="宋体"/>
          <w:b/>
          <w:bCs/>
          <w:spacing w:val="3"/>
          <w:sz w:val="27"/>
          <w:szCs w:val="27"/>
        </w:rPr>
        <w:t>——</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3"/>
          <w:sz w:val="27"/>
          <w:szCs w:val="27"/>
        </w:rPr>
        <w:t>237-2011</w:t>
      </w:r>
    </w:p>
    <w:p w14:paraId="57EAB1E9">
      <w:pPr>
        <w:spacing w:before="287" w:line="220"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3.0.7    </w:t>
      </w:r>
      <w:r>
        <w:rPr>
          <w:rFonts w:ascii="宋体" w:hAnsi="宋体" w:eastAsia="宋体" w:cs="宋体"/>
          <w:spacing w:val="-1"/>
          <w:sz w:val="24"/>
          <w:szCs w:val="24"/>
        </w:rPr>
        <w:t>遮阳装置及其与主体建筑结构</w:t>
      </w:r>
      <w:r>
        <w:rPr>
          <w:rFonts w:ascii="宋体" w:hAnsi="宋体" w:eastAsia="宋体" w:cs="宋体"/>
          <w:spacing w:val="-2"/>
          <w:sz w:val="24"/>
          <w:szCs w:val="24"/>
        </w:rPr>
        <w:t>的连接应进行结构设计。</w:t>
      </w:r>
    </w:p>
    <w:p w14:paraId="13F8BAC3">
      <w:pPr>
        <w:spacing w:before="153" w:line="279" w:lineRule="auto"/>
        <w:ind w:left="4"/>
        <w:rPr>
          <w:rFonts w:ascii="宋体" w:hAnsi="宋体" w:eastAsia="宋体" w:cs="宋体"/>
          <w:sz w:val="24"/>
          <w:szCs w:val="24"/>
        </w:rPr>
      </w:pPr>
      <w:r>
        <w:rPr>
          <w:rFonts w:ascii="Times New Roman" w:hAnsi="Times New Roman" w:eastAsia="Times New Roman" w:cs="Times New Roman"/>
          <w:sz w:val="24"/>
          <w:szCs w:val="24"/>
        </w:rPr>
        <w:t xml:space="preserve">7.3.4    </w:t>
      </w:r>
      <w:r>
        <w:rPr>
          <w:rFonts w:ascii="宋体" w:hAnsi="宋体" w:eastAsia="宋体" w:cs="宋体"/>
          <w:sz w:val="24"/>
          <w:szCs w:val="24"/>
        </w:rPr>
        <w:t>在遮阳装置安装前，后置锚固件应在同条件的主体结构</w:t>
      </w:r>
      <w:r>
        <w:rPr>
          <w:rFonts w:ascii="宋体" w:hAnsi="宋体" w:eastAsia="宋体" w:cs="宋体"/>
          <w:spacing w:val="-1"/>
          <w:sz w:val="24"/>
          <w:szCs w:val="24"/>
        </w:rPr>
        <w:t>上进行现场见证拉拔试</w:t>
      </w:r>
      <w:r>
        <w:rPr>
          <w:rFonts w:ascii="宋体" w:hAnsi="宋体" w:eastAsia="宋体" w:cs="宋体"/>
          <w:sz w:val="24"/>
          <w:szCs w:val="24"/>
        </w:rPr>
        <w:t xml:space="preserve"> </w:t>
      </w:r>
      <w:r>
        <w:rPr>
          <w:rFonts w:ascii="宋体" w:hAnsi="宋体" w:eastAsia="宋体" w:cs="宋体"/>
          <w:spacing w:val="-4"/>
          <w:sz w:val="24"/>
          <w:szCs w:val="24"/>
        </w:rPr>
        <w:t>验，并应符合设计要求。</w:t>
      </w:r>
    </w:p>
    <w:p w14:paraId="56D89EE0">
      <w:pPr>
        <w:spacing w:before="154" w:line="220" w:lineRule="auto"/>
        <w:ind w:left="10"/>
        <w:rPr>
          <w:rFonts w:ascii="宋体" w:hAnsi="宋体" w:eastAsia="宋体" w:cs="宋体"/>
          <w:sz w:val="24"/>
          <w:szCs w:val="24"/>
        </w:rPr>
      </w:pPr>
      <w:r>
        <w:rPr>
          <w:rFonts w:ascii="Times New Roman" w:hAnsi="Times New Roman" w:eastAsia="Times New Roman" w:cs="Times New Roman"/>
          <w:spacing w:val="-2"/>
          <w:sz w:val="24"/>
          <w:szCs w:val="24"/>
        </w:rPr>
        <w:t xml:space="preserve">8.2.4    </w:t>
      </w:r>
      <w:r>
        <w:rPr>
          <w:rFonts w:ascii="宋体" w:hAnsi="宋体" w:eastAsia="宋体" w:cs="宋体"/>
          <w:spacing w:val="-2"/>
          <w:sz w:val="24"/>
          <w:szCs w:val="24"/>
        </w:rPr>
        <w:t>遮阳装置与主体结构的锚固连接应符合设计要求。</w:t>
      </w:r>
    </w:p>
    <w:p w14:paraId="223DA810">
      <w:pPr>
        <w:spacing w:before="155" w:line="220" w:lineRule="auto"/>
        <w:ind w:left="485"/>
        <w:rPr>
          <w:rFonts w:ascii="宋体" w:hAnsi="宋体" w:eastAsia="宋体" w:cs="宋体"/>
          <w:sz w:val="24"/>
          <w:szCs w:val="24"/>
        </w:rPr>
      </w:pPr>
      <w:r>
        <w:rPr>
          <w:rFonts w:ascii="宋体" w:hAnsi="宋体" w:eastAsia="宋体" w:cs="宋体"/>
          <w:spacing w:val="-3"/>
          <w:sz w:val="24"/>
          <w:szCs w:val="24"/>
        </w:rPr>
        <w:t>检验数量：全数检查验收记录。</w:t>
      </w:r>
    </w:p>
    <w:p w14:paraId="74C90A6E">
      <w:pPr>
        <w:spacing w:before="153" w:line="339" w:lineRule="auto"/>
        <w:ind w:left="6" w:firstLine="479"/>
        <w:rPr>
          <w:rFonts w:ascii="宋体" w:hAnsi="宋体" w:eastAsia="宋体" w:cs="宋体"/>
          <w:sz w:val="24"/>
          <w:szCs w:val="24"/>
        </w:rPr>
      </w:pPr>
      <w:r>
        <w:rPr>
          <w:rFonts w:ascii="宋体" w:hAnsi="宋体" w:eastAsia="宋体" w:cs="宋体"/>
          <w:sz w:val="24"/>
          <w:szCs w:val="24"/>
        </w:rPr>
        <w:t>检验方法：检查预埋件或后置锚固件与主体结构的连接</w:t>
      </w:r>
      <w:r>
        <w:rPr>
          <w:rFonts w:ascii="宋体" w:hAnsi="宋体" w:eastAsia="宋体" w:cs="宋体"/>
          <w:spacing w:val="-1"/>
          <w:sz w:val="24"/>
          <w:szCs w:val="24"/>
        </w:rPr>
        <w:t>等隐蔽工程施工验收记录</w:t>
      </w:r>
      <w:r>
        <w:rPr>
          <w:rFonts w:ascii="宋体" w:hAnsi="宋体" w:eastAsia="宋体" w:cs="宋体"/>
          <w:sz w:val="24"/>
          <w:szCs w:val="24"/>
        </w:rPr>
        <w:t xml:space="preserve"> </w:t>
      </w:r>
      <w:r>
        <w:rPr>
          <w:rFonts w:ascii="宋体" w:hAnsi="宋体" w:eastAsia="宋体" w:cs="宋体"/>
          <w:spacing w:val="-7"/>
          <w:sz w:val="24"/>
          <w:szCs w:val="24"/>
        </w:rPr>
        <w:t>和试验报告。</w:t>
      </w:r>
    </w:p>
    <w:p w14:paraId="319745F2">
      <w:pPr>
        <w:spacing w:before="1" w:line="219" w:lineRule="auto"/>
        <w:ind w:left="10"/>
        <w:rPr>
          <w:rFonts w:ascii="宋体" w:hAnsi="宋体" w:eastAsia="宋体" w:cs="宋体"/>
          <w:sz w:val="24"/>
          <w:szCs w:val="24"/>
        </w:rPr>
      </w:pPr>
      <w:r>
        <w:rPr>
          <w:rFonts w:ascii="Times New Roman" w:hAnsi="Times New Roman" w:eastAsia="Times New Roman" w:cs="Times New Roman"/>
          <w:spacing w:val="-5"/>
          <w:sz w:val="24"/>
          <w:szCs w:val="24"/>
        </w:rPr>
        <w:t>8.2.5</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电力驱动装置应有接地措施。</w:t>
      </w:r>
    </w:p>
    <w:p w14:paraId="6D50CC21">
      <w:pPr>
        <w:spacing w:before="153" w:line="220" w:lineRule="auto"/>
        <w:ind w:left="485"/>
        <w:rPr>
          <w:rFonts w:ascii="宋体" w:hAnsi="宋体" w:eastAsia="宋体" w:cs="宋体"/>
          <w:sz w:val="24"/>
          <w:szCs w:val="24"/>
        </w:rPr>
      </w:pPr>
      <w:r>
        <w:rPr>
          <w:rFonts w:ascii="宋体" w:hAnsi="宋体" w:eastAsia="宋体" w:cs="宋体"/>
          <w:spacing w:val="-4"/>
          <w:sz w:val="24"/>
          <w:szCs w:val="24"/>
        </w:rPr>
        <w:t>检验数量：全数检查。</w:t>
      </w:r>
    </w:p>
    <w:p w14:paraId="7AABDA38">
      <w:pPr>
        <w:spacing w:before="154" w:line="220" w:lineRule="auto"/>
        <w:ind w:left="485"/>
        <w:rPr>
          <w:rFonts w:ascii="宋体" w:hAnsi="宋体" w:eastAsia="宋体" w:cs="宋体"/>
          <w:sz w:val="24"/>
          <w:szCs w:val="24"/>
        </w:rPr>
      </w:pPr>
      <w:r>
        <w:rPr>
          <w:rFonts w:ascii="宋体" w:hAnsi="宋体" w:eastAsia="宋体" w:cs="宋体"/>
          <w:spacing w:val="-2"/>
          <w:sz w:val="24"/>
          <w:szCs w:val="24"/>
        </w:rPr>
        <w:t>检验方法：观察检查电力驱动装置的接地措施，进行接地电阻测试。</w:t>
      </w:r>
    </w:p>
    <w:p w14:paraId="7666C87A">
      <w:pPr>
        <w:spacing w:before="302" w:line="227" w:lineRule="auto"/>
        <w:ind w:left="11"/>
        <w:outlineLvl w:val="0"/>
        <w:rPr>
          <w:rFonts w:ascii="宋体" w:hAnsi="宋体" w:eastAsia="宋体" w:cs="宋体"/>
          <w:sz w:val="27"/>
          <w:szCs w:val="27"/>
        </w:rPr>
      </w:pPr>
      <w:bookmarkStart w:id="62" w:name="bookmark109"/>
      <w:bookmarkEnd w:id="62"/>
      <w:r>
        <w:rPr>
          <w:rFonts w:ascii="宋体" w:hAnsi="宋体" w:eastAsia="宋体" w:cs="宋体"/>
          <w:b/>
          <w:bCs/>
          <w:spacing w:val="5"/>
          <w:sz w:val="27"/>
          <w:szCs w:val="27"/>
        </w:rPr>
        <w:t>五、建筑安装</w:t>
      </w:r>
    </w:p>
    <w:p w14:paraId="0159275F">
      <w:pPr>
        <w:spacing w:before="313" w:line="226" w:lineRule="auto"/>
        <w:ind w:left="14"/>
        <w:outlineLvl w:val="1"/>
        <w:rPr>
          <w:rFonts w:ascii="宋体" w:hAnsi="宋体" w:eastAsia="宋体" w:cs="宋体"/>
          <w:sz w:val="27"/>
          <w:szCs w:val="27"/>
        </w:rPr>
      </w:pPr>
      <w:bookmarkStart w:id="63" w:name="bookmark110"/>
      <w:bookmarkEnd w:id="63"/>
      <w:r>
        <w:rPr>
          <w:rFonts w:ascii="Times New Roman" w:hAnsi="Times New Roman" w:eastAsia="Times New Roman" w:cs="Times New Roman"/>
          <w:b/>
          <w:bCs/>
          <w:spacing w:val="6"/>
          <w:sz w:val="27"/>
          <w:szCs w:val="27"/>
        </w:rPr>
        <w:t>1.</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50212-2014  </w:t>
      </w:r>
      <w:r>
        <w:rPr>
          <w:rFonts w:ascii="宋体" w:hAnsi="宋体" w:eastAsia="宋体" w:cs="宋体"/>
          <w:b/>
          <w:bCs/>
          <w:spacing w:val="6"/>
          <w:sz w:val="27"/>
          <w:szCs w:val="27"/>
        </w:rPr>
        <w:t>建筑防腐蚀</w:t>
      </w:r>
      <w:r>
        <w:rPr>
          <w:rFonts w:ascii="宋体" w:hAnsi="宋体" w:eastAsia="宋体" w:cs="宋体"/>
          <w:b/>
          <w:bCs/>
          <w:spacing w:val="5"/>
          <w:sz w:val="27"/>
          <w:szCs w:val="27"/>
        </w:rPr>
        <w:t>工程施工规范</w:t>
      </w:r>
    </w:p>
    <w:p w14:paraId="6131B8B8">
      <w:pPr>
        <w:pStyle w:val="2"/>
        <w:spacing w:line="354" w:lineRule="auto"/>
      </w:pPr>
    </w:p>
    <w:p w14:paraId="4762E776">
      <w:pPr>
        <w:spacing w:before="79" w:line="220" w:lineRule="auto"/>
        <w:ind w:left="10"/>
        <w:rPr>
          <w:rFonts w:ascii="宋体" w:hAnsi="宋体" w:eastAsia="宋体" w:cs="宋体"/>
          <w:sz w:val="24"/>
          <w:szCs w:val="24"/>
        </w:rPr>
      </w:pPr>
      <w:r>
        <w:rPr>
          <w:rFonts w:ascii="宋体" w:hAnsi="宋体" w:eastAsia="宋体" w:cs="宋体"/>
          <w:spacing w:val="-2"/>
          <w:sz w:val="24"/>
          <w:szCs w:val="24"/>
        </w:rPr>
        <w:t>5.1.8 施工中严禁使用明火或蒸汽直接加</w:t>
      </w:r>
      <w:r>
        <w:rPr>
          <w:rFonts w:ascii="宋体" w:hAnsi="宋体" w:eastAsia="宋体" w:cs="宋体"/>
          <w:spacing w:val="-3"/>
          <w:sz w:val="24"/>
          <w:szCs w:val="24"/>
        </w:rPr>
        <w:t>热。</w:t>
      </w:r>
    </w:p>
    <w:p w14:paraId="4C75C02D">
      <w:pPr>
        <w:spacing w:before="306" w:line="230" w:lineRule="auto"/>
        <w:ind w:left="12" w:hanging="2"/>
        <w:rPr>
          <w:rFonts w:ascii="宋体" w:hAnsi="宋体" w:eastAsia="宋体" w:cs="宋体"/>
          <w:sz w:val="24"/>
          <w:szCs w:val="24"/>
        </w:rPr>
      </w:pPr>
      <w:r>
        <w:rPr>
          <w:rFonts w:ascii="宋体" w:hAnsi="宋体" w:eastAsia="宋体" w:cs="宋体"/>
          <w:spacing w:val="-1"/>
          <w:sz w:val="24"/>
          <w:szCs w:val="24"/>
        </w:rPr>
        <w:t>5.3.4</w:t>
      </w:r>
      <w:r>
        <w:rPr>
          <w:rFonts w:ascii="宋体" w:hAnsi="宋体" w:eastAsia="宋体" w:cs="宋体"/>
          <w:spacing w:val="33"/>
          <w:sz w:val="24"/>
          <w:szCs w:val="24"/>
        </w:rPr>
        <w:t xml:space="preserve"> </w:t>
      </w:r>
      <w:r>
        <w:rPr>
          <w:rFonts w:ascii="宋体" w:hAnsi="宋体" w:eastAsia="宋体" w:cs="宋体"/>
          <w:spacing w:val="-1"/>
          <w:sz w:val="24"/>
          <w:szCs w:val="24"/>
        </w:rPr>
        <w:t>乙烯基酯树脂或不饱和聚酯树脂胶料、胶泥、砂浆和细</w:t>
      </w:r>
      <w:r>
        <w:rPr>
          <w:rFonts w:ascii="宋体" w:hAnsi="宋体" w:eastAsia="宋体" w:cs="宋体"/>
          <w:spacing w:val="-2"/>
          <w:sz w:val="24"/>
          <w:szCs w:val="24"/>
        </w:rPr>
        <w:t>石混凝土的配制应符合</w:t>
      </w:r>
      <w:r>
        <w:rPr>
          <w:rFonts w:ascii="宋体" w:hAnsi="宋体" w:eastAsia="宋体" w:cs="宋体"/>
          <w:sz w:val="24"/>
          <w:szCs w:val="24"/>
        </w:rPr>
        <w:t xml:space="preserve"> </w:t>
      </w:r>
      <w:r>
        <w:rPr>
          <w:rFonts w:ascii="宋体" w:hAnsi="宋体" w:eastAsia="宋体" w:cs="宋体"/>
          <w:spacing w:val="-12"/>
          <w:sz w:val="24"/>
          <w:szCs w:val="24"/>
        </w:rPr>
        <w:t>下列规定：</w:t>
      </w:r>
    </w:p>
    <w:p w14:paraId="63C271BB">
      <w:pPr>
        <w:pStyle w:val="2"/>
        <w:spacing w:line="335" w:lineRule="auto"/>
      </w:pPr>
    </w:p>
    <w:p w14:paraId="762FF332">
      <w:pPr>
        <w:spacing w:before="78" w:line="219" w:lineRule="auto"/>
        <w:ind w:left="481"/>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严禁促进剂与引发剂直接混合。</w:t>
      </w:r>
    </w:p>
    <w:p w14:paraId="1579FEDB">
      <w:pPr>
        <w:pStyle w:val="2"/>
        <w:spacing w:line="246" w:lineRule="auto"/>
      </w:pPr>
    </w:p>
    <w:p w14:paraId="4B591BAA">
      <w:pPr>
        <w:spacing w:before="79" w:line="220" w:lineRule="auto"/>
        <w:ind w:left="7"/>
        <w:rPr>
          <w:rFonts w:ascii="宋体" w:hAnsi="宋体" w:eastAsia="宋体" w:cs="宋体"/>
          <w:sz w:val="24"/>
          <w:szCs w:val="24"/>
        </w:rPr>
      </w:pPr>
      <w:r>
        <w:rPr>
          <w:rFonts w:ascii="宋体" w:hAnsi="宋体" w:eastAsia="宋体" w:cs="宋体"/>
          <w:spacing w:val="-2"/>
          <w:sz w:val="24"/>
          <w:szCs w:val="24"/>
        </w:rPr>
        <w:t>6.1.4 水玻璃类防腐蚀工程在施工及养护期间应符合下列</w:t>
      </w:r>
      <w:r>
        <w:rPr>
          <w:rFonts w:ascii="宋体" w:hAnsi="宋体" w:eastAsia="宋体" w:cs="宋体"/>
          <w:spacing w:val="-3"/>
          <w:sz w:val="24"/>
          <w:szCs w:val="24"/>
        </w:rPr>
        <w:t>规定：</w:t>
      </w:r>
    </w:p>
    <w:p w14:paraId="3BFCD731">
      <w:pPr>
        <w:pStyle w:val="2"/>
        <w:spacing w:line="335" w:lineRule="auto"/>
      </w:pPr>
    </w:p>
    <w:p w14:paraId="2D63CAEF">
      <w:pPr>
        <w:spacing w:before="79" w:line="220" w:lineRule="auto"/>
        <w:ind w:left="504"/>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严禁与水或水蒸气接触。</w:t>
      </w:r>
    </w:p>
    <w:p w14:paraId="5140546E">
      <w:pPr>
        <w:pStyle w:val="2"/>
        <w:spacing w:line="245" w:lineRule="auto"/>
      </w:pPr>
    </w:p>
    <w:p w14:paraId="77CEB6F9">
      <w:pPr>
        <w:spacing w:before="78" w:line="219" w:lineRule="auto"/>
        <w:ind w:left="23"/>
        <w:rPr>
          <w:rFonts w:ascii="宋体" w:hAnsi="宋体" w:eastAsia="宋体" w:cs="宋体"/>
          <w:sz w:val="24"/>
          <w:szCs w:val="24"/>
        </w:rPr>
      </w:pPr>
      <w:r>
        <w:rPr>
          <w:rFonts w:ascii="宋体" w:hAnsi="宋体" w:eastAsia="宋体" w:cs="宋体"/>
          <w:spacing w:val="-2"/>
          <w:sz w:val="24"/>
          <w:szCs w:val="24"/>
        </w:rPr>
        <w:t>10.1.11 当在密闭或有限空间施工时，必须采取强制通风。</w:t>
      </w:r>
    </w:p>
    <w:p w14:paraId="25691868">
      <w:pPr>
        <w:spacing w:before="307" w:line="229" w:lineRule="auto"/>
        <w:ind w:left="7" w:firstLine="15"/>
        <w:rPr>
          <w:rFonts w:ascii="宋体" w:hAnsi="宋体" w:eastAsia="宋体" w:cs="宋体"/>
          <w:sz w:val="24"/>
          <w:szCs w:val="24"/>
        </w:rPr>
      </w:pPr>
      <w:r>
        <w:rPr>
          <w:rFonts w:ascii="宋体" w:hAnsi="宋体" w:eastAsia="宋体" w:cs="宋体"/>
          <w:spacing w:val="-1"/>
          <w:sz w:val="24"/>
          <w:szCs w:val="24"/>
        </w:rPr>
        <w:t>10.1.12 防腐蚀涂料和稀释剂在运输、贮存、施工及养护过程中，严禁明火，并应防</w:t>
      </w:r>
      <w:r>
        <w:rPr>
          <w:rFonts w:ascii="宋体" w:hAnsi="宋体" w:eastAsia="宋体" w:cs="宋体"/>
          <w:spacing w:val="12"/>
          <w:sz w:val="24"/>
          <w:szCs w:val="24"/>
        </w:rPr>
        <w:t xml:space="preserve"> </w:t>
      </w:r>
      <w:r>
        <w:rPr>
          <w:rFonts w:ascii="宋体" w:hAnsi="宋体" w:eastAsia="宋体" w:cs="宋体"/>
          <w:spacing w:val="-3"/>
          <w:sz w:val="24"/>
          <w:szCs w:val="24"/>
        </w:rPr>
        <w:t>尘、防暴晒，不得与酸、碱等化学介质接触。</w:t>
      </w:r>
    </w:p>
    <w:p w14:paraId="194C09D8">
      <w:pPr>
        <w:spacing w:line="229" w:lineRule="auto"/>
        <w:rPr>
          <w:rFonts w:ascii="宋体" w:hAnsi="宋体" w:eastAsia="宋体" w:cs="宋体"/>
          <w:sz w:val="24"/>
          <w:szCs w:val="24"/>
        </w:rPr>
        <w:sectPr>
          <w:footerReference r:id="rId47" w:type="default"/>
          <w:pgSz w:w="11907" w:h="16839"/>
          <w:pgMar w:top="400" w:right="1609" w:bottom="743" w:left="1421" w:header="0" w:footer="582" w:gutter="0"/>
          <w:cols w:space="720" w:num="1"/>
        </w:sectPr>
      </w:pPr>
    </w:p>
    <w:p w14:paraId="4BB7EB8E">
      <w:pPr>
        <w:pStyle w:val="2"/>
        <w:spacing w:line="309" w:lineRule="auto"/>
      </w:pPr>
    </w:p>
    <w:p w14:paraId="7A2B96D5">
      <w:pPr>
        <w:pStyle w:val="2"/>
        <w:spacing w:line="309" w:lineRule="auto"/>
      </w:pPr>
    </w:p>
    <w:p w14:paraId="28C7FC5A">
      <w:pPr>
        <w:pStyle w:val="2"/>
        <w:spacing w:line="309" w:lineRule="auto"/>
      </w:pPr>
    </w:p>
    <w:p w14:paraId="29D5DF84">
      <w:pPr>
        <w:spacing w:before="88" w:line="226" w:lineRule="auto"/>
        <w:ind w:left="2"/>
        <w:outlineLvl w:val="1"/>
        <w:rPr>
          <w:rFonts w:ascii="宋体" w:hAnsi="宋体" w:eastAsia="宋体" w:cs="宋体"/>
          <w:sz w:val="27"/>
          <w:szCs w:val="27"/>
        </w:rPr>
      </w:pPr>
      <w:bookmarkStart w:id="64" w:name="bookmark111"/>
      <w:bookmarkEnd w:id="64"/>
      <w:r>
        <w:rPr>
          <w:rFonts w:ascii="Times New Roman" w:hAnsi="Times New Roman" w:eastAsia="Times New Roman" w:cs="Times New Roman"/>
          <w:b/>
          <w:bCs/>
          <w:spacing w:val="6"/>
          <w:sz w:val="27"/>
          <w:szCs w:val="27"/>
        </w:rPr>
        <w:t>2.</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50243-2016  </w:t>
      </w:r>
      <w:r>
        <w:rPr>
          <w:rFonts w:ascii="宋体" w:hAnsi="宋体" w:eastAsia="宋体" w:cs="宋体"/>
          <w:b/>
          <w:bCs/>
          <w:spacing w:val="6"/>
          <w:sz w:val="27"/>
          <w:szCs w:val="27"/>
        </w:rPr>
        <w:t>通风与空调工程施工质量验收规范</w:t>
      </w:r>
    </w:p>
    <w:p w14:paraId="4944F428">
      <w:pPr>
        <w:spacing w:before="285" w:line="279" w:lineRule="auto"/>
        <w:ind w:left="25" w:right="120" w:hanging="25"/>
        <w:rPr>
          <w:rFonts w:ascii="宋体" w:hAnsi="宋体" w:eastAsia="宋体" w:cs="宋体"/>
          <w:sz w:val="24"/>
          <w:szCs w:val="24"/>
        </w:rPr>
      </w:pPr>
      <w:r>
        <w:rPr>
          <w:rFonts w:ascii="Times New Roman" w:hAnsi="Times New Roman" w:eastAsia="Times New Roman" w:cs="Times New Roman"/>
          <w:sz w:val="24"/>
          <w:szCs w:val="24"/>
        </w:rPr>
        <w:t xml:space="preserve">4.2.2    </w:t>
      </w:r>
      <w:r>
        <w:rPr>
          <w:rFonts w:ascii="宋体" w:hAnsi="宋体" w:eastAsia="宋体" w:cs="宋体"/>
          <w:sz w:val="24"/>
          <w:szCs w:val="24"/>
        </w:rPr>
        <w:t>防火风管的本体、框架与固定材料、密封垫料等必须采用不燃材料</w:t>
      </w:r>
      <w:r>
        <w:rPr>
          <w:rFonts w:ascii="宋体" w:hAnsi="宋体" w:eastAsia="宋体" w:cs="宋体"/>
          <w:spacing w:val="-1"/>
          <w:sz w:val="24"/>
          <w:szCs w:val="24"/>
        </w:rPr>
        <w:t>，防火风管</w:t>
      </w:r>
      <w:r>
        <w:rPr>
          <w:rFonts w:ascii="宋体" w:hAnsi="宋体" w:eastAsia="宋体" w:cs="宋体"/>
          <w:sz w:val="24"/>
          <w:szCs w:val="24"/>
        </w:rPr>
        <w:t xml:space="preserve"> </w:t>
      </w:r>
      <w:r>
        <w:rPr>
          <w:rFonts w:ascii="宋体" w:hAnsi="宋体" w:eastAsia="宋体" w:cs="宋体"/>
          <w:spacing w:val="-4"/>
          <w:sz w:val="24"/>
          <w:szCs w:val="24"/>
        </w:rPr>
        <w:t>的耐火极限时间应符合系统防火设计的规定。</w:t>
      </w:r>
    </w:p>
    <w:p w14:paraId="5FA199E0">
      <w:pPr>
        <w:spacing w:before="155" w:line="278" w:lineRule="auto"/>
        <w:ind w:left="6" w:right="120" w:hanging="6"/>
        <w:rPr>
          <w:rFonts w:ascii="宋体" w:hAnsi="宋体" w:eastAsia="宋体" w:cs="宋体"/>
          <w:sz w:val="24"/>
          <w:szCs w:val="24"/>
        </w:rPr>
      </w:pPr>
      <w:r>
        <w:rPr>
          <w:rFonts w:ascii="Times New Roman" w:hAnsi="Times New Roman" w:eastAsia="Times New Roman" w:cs="Times New Roman"/>
          <w:sz w:val="24"/>
          <w:szCs w:val="24"/>
        </w:rPr>
        <w:t xml:space="preserve">4.2.5    </w:t>
      </w:r>
      <w:r>
        <w:rPr>
          <w:rFonts w:ascii="宋体" w:hAnsi="宋体" w:eastAsia="宋体" w:cs="宋体"/>
          <w:sz w:val="24"/>
          <w:szCs w:val="24"/>
        </w:rPr>
        <w:t>复合材料风管的覆面材料必须采用不燃材料，内层的绝热材料应采</w:t>
      </w:r>
      <w:r>
        <w:rPr>
          <w:rFonts w:ascii="宋体" w:hAnsi="宋体" w:eastAsia="宋体" w:cs="宋体"/>
          <w:spacing w:val="-1"/>
          <w:sz w:val="24"/>
          <w:szCs w:val="24"/>
        </w:rPr>
        <w:t>用不燃或难</w:t>
      </w:r>
      <w:r>
        <w:rPr>
          <w:rFonts w:ascii="宋体" w:hAnsi="宋体" w:eastAsia="宋体" w:cs="宋体"/>
          <w:sz w:val="24"/>
          <w:szCs w:val="24"/>
        </w:rPr>
        <w:t xml:space="preserve"> </w:t>
      </w:r>
      <w:r>
        <w:rPr>
          <w:rFonts w:ascii="宋体" w:hAnsi="宋体" w:eastAsia="宋体" w:cs="宋体"/>
          <w:spacing w:val="-4"/>
          <w:sz w:val="24"/>
          <w:szCs w:val="24"/>
        </w:rPr>
        <w:t>燃且对人体无害的材料。</w:t>
      </w:r>
    </w:p>
    <w:p w14:paraId="197535A1">
      <w:pPr>
        <w:spacing w:before="155" w:line="219"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5.2.7    </w:t>
      </w:r>
      <w:r>
        <w:rPr>
          <w:rFonts w:ascii="宋体" w:hAnsi="宋体" w:eastAsia="宋体" w:cs="宋体"/>
          <w:spacing w:val="-2"/>
          <w:sz w:val="24"/>
          <w:szCs w:val="24"/>
        </w:rPr>
        <w:t>防排烟系统的柔性短管必须采用不燃材料。</w:t>
      </w:r>
    </w:p>
    <w:p w14:paraId="34B97C68">
      <w:pPr>
        <w:spacing w:before="156" w:line="218" w:lineRule="auto"/>
        <w:ind w:left="6"/>
        <w:rPr>
          <w:rFonts w:ascii="宋体" w:hAnsi="宋体" w:eastAsia="宋体" w:cs="宋体"/>
          <w:sz w:val="24"/>
          <w:szCs w:val="24"/>
        </w:rPr>
      </w:pPr>
      <w:r>
        <w:rPr>
          <w:rFonts w:ascii="Times New Roman" w:hAnsi="Times New Roman" w:eastAsia="Times New Roman" w:cs="Times New Roman"/>
          <w:sz w:val="24"/>
          <w:szCs w:val="24"/>
        </w:rPr>
        <w:t xml:space="preserve">6.2.2    </w:t>
      </w:r>
      <w:r>
        <w:rPr>
          <w:rFonts w:ascii="宋体" w:hAnsi="宋体" w:eastAsia="宋体" w:cs="宋体"/>
          <w:sz w:val="24"/>
          <w:szCs w:val="24"/>
        </w:rPr>
        <w:t>当风管穿过需要封闭的防火、防爆的墙体或楼板</w:t>
      </w:r>
      <w:r>
        <w:rPr>
          <w:rFonts w:ascii="宋体" w:hAnsi="宋体" w:eastAsia="宋体" w:cs="宋体"/>
          <w:spacing w:val="-1"/>
          <w:sz w:val="24"/>
          <w:szCs w:val="24"/>
        </w:rPr>
        <w:t>时，必须设置厚度不小于</w:t>
      </w:r>
    </w:p>
    <w:p w14:paraId="1A33541B">
      <w:pPr>
        <w:spacing w:before="155" w:line="219" w:lineRule="auto"/>
        <w:ind w:left="24"/>
        <w:rPr>
          <w:rFonts w:ascii="宋体" w:hAnsi="宋体" w:eastAsia="宋体" w:cs="宋体"/>
          <w:sz w:val="24"/>
          <w:szCs w:val="24"/>
        </w:rPr>
      </w:pPr>
      <w:r>
        <w:rPr>
          <w:rFonts w:ascii="Times New Roman" w:hAnsi="Times New Roman" w:eastAsia="Times New Roman" w:cs="Times New Roman"/>
          <w:spacing w:val="-3"/>
          <w:sz w:val="24"/>
          <w:szCs w:val="24"/>
        </w:rPr>
        <w:t>1.6mm</w:t>
      </w:r>
      <w:r>
        <w:rPr>
          <w:rFonts w:ascii="Times New Roman" w:hAnsi="Times New Roman" w:eastAsia="Times New Roman" w:cs="Times New Roman"/>
          <w:spacing w:val="45"/>
          <w:sz w:val="24"/>
          <w:szCs w:val="24"/>
        </w:rPr>
        <w:t xml:space="preserve"> </w:t>
      </w:r>
      <w:r>
        <w:rPr>
          <w:rFonts w:ascii="宋体" w:hAnsi="宋体" w:eastAsia="宋体" w:cs="宋体"/>
          <w:spacing w:val="-3"/>
          <w:sz w:val="24"/>
          <w:szCs w:val="24"/>
        </w:rPr>
        <w:t>的钢制防护套管；风管与防护套管之间应采用不燃柔性材料封堵严密。</w:t>
      </w:r>
    </w:p>
    <w:p w14:paraId="388A2015">
      <w:pPr>
        <w:spacing w:before="156" w:line="220" w:lineRule="auto"/>
        <w:ind w:left="6"/>
        <w:rPr>
          <w:rFonts w:ascii="宋体" w:hAnsi="宋体" w:eastAsia="宋体" w:cs="宋体"/>
          <w:sz w:val="24"/>
          <w:szCs w:val="24"/>
        </w:rPr>
      </w:pPr>
      <w:r>
        <w:rPr>
          <w:rFonts w:ascii="Times New Roman" w:hAnsi="Times New Roman" w:eastAsia="Times New Roman" w:cs="Times New Roman"/>
          <w:spacing w:val="-3"/>
          <w:sz w:val="24"/>
          <w:szCs w:val="24"/>
        </w:rPr>
        <w:t xml:space="preserve">6.2.3    </w:t>
      </w:r>
      <w:r>
        <w:rPr>
          <w:rFonts w:ascii="宋体" w:hAnsi="宋体" w:eastAsia="宋体" w:cs="宋体"/>
          <w:spacing w:val="-3"/>
          <w:sz w:val="24"/>
          <w:szCs w:val="24"/>
        </w:rPr>
        <w:t>风管安装必须符合下列规定：</w:t>
      </w:r>
    </w:p>
    <w:p w14:paraId="2E1DE573">
      <w:pPr>
        <w:spacing w:before="154" w:line="220" w:lineRule="auto"/>
        <w:ind w:left="264"/>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风管内严禁其他管线穿越。</w:t>
      </w:r>
    </w:p>
    <w:p w14:paraId="0DEEFEEE">
      <w:pPr>
        <w:spacing w:before="153" w:line="279" w:lineRule="auto"/>
        <w:ind w:left="246" w:hanging="5"/>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输送含有易燃、易爆气体或安装在易燃、易爆环境的风管系统必</w:t>
      </w:r>
      <w:r>
        <w:rPr>
          <w:rFonts w:ascii="宋体" w:hAnsi="宋体" w:eastAsia="宋体" w:cs="宋体"/>
          <w:spacing w:val="-1"/>
          <w:sz w:val="24"/>
          <w:szCs w:val="24"/>
        </w:rPr>
        <w:t>须设置可靠的防</w:t>
      </w:r>
      <w:r>
        <w:rPr>
          <w:rFonts w:ascii="宋体" w:hAnsi="宋体" w:eastAsia="宋体" w:cs="宋体"/>
          <w:sz w:val="24"/>
          <w:szCs w:val="24"/>
        </w:rPr>
        <w:t xml:space="preserve"> </w:t>
      </w:r>
      <w:r>
        <w:rPr>
          <w:rFonts w:ascii="宋体" w:hAnsi="宋体" w:eastAsia="宋体" w:cs="宋体"/>
          <w:spacing w:val="-6"/>
          <w:sz w:val="24"/>
          <w:szCs w:val="24"/>
        </w:rPr>
        <w:t>静电接地装置。</w:t>
      </w:r>
    </w:p>
    <w:p w14:paraId="33BD8220">
      <w:pPr>
        <w:spacing w:before="157" w:line="279" w:lineRule="auto"/>
        <w:ind w:left="244" w:firstLine="1"/>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输送含有易燃、易爆气体的风管系统通过生活区或其他</w:t>
      </w:r>
      <w:r>
        <w:rPr>
          <w:rFonts w:ascii="宋体" w:hAnsi="宋体" w:eastAsia="宋体" w:cs="宋体"/>
          <w:spacing w:val="-1"/>
          <w:sz w:val="24"/>
          <w:szCs w:val="24"/>
        </w:rPr>
        <w:t>辅助生产房间时不得设置</w:t>
      </w:r>
      <w:r>
        <w:rPr>
          <w:rFonts w:ascii="宋体" w:hAnsi="宋体" w:eastAsia="宋体" w:cs="宋体"/>
          <w:sz w:val="24"/>
          <w:szCs w:val="24"/>
        </w:rPr>
        <w:t xml:space="preserve"> </w:t>
      </w:r>
      <w:r>
        <w:rPr>
          <w:rFonts w:ascii="宋体" w:hAnsi="宋体" w:eastAsia="宋体" w:cs="宋体"/>
          <w:spacing w:val="-10"/>
          <w:sz w:val="24"/>
          <w:szCs w:val="24"/>
        </w:rPr>
        <w:t>接口。</w:t>
      </w:r>
    </w:p>
    <w:p w14:paraId="659196AB">
      <w:pPr>
        <w:spacing w:before="153" w:line="220" w:lineRule="auto"/>
        <w:ind w:left="239"/>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室外风管系统的拉索等金属固定件严禁与避雷针或避</w:t>
      </w:r>
      <w:r>
        <w:rPr>
          <w:rFonts w:ascii="宋体" w:hAnsi="宋体" w:eastAsia="宋体" w:cs="宋体"/>
          <w:spacing w:val="-2"/>
          <w:sz w:val="24"/>
          <w:szCs w:val="24"/>
        </w:rPr>
        <w:t>雷网连接。</w:t>
      </w:r>
    </w:p>
    <w:p w14:paraId="65C41EEF">
      <w:pPr>
        <w:spacing w:before="156" w:line="278" w:lineRule="auto"/>
        <w:ind w:left="6" w:right="120" w:hanging="1"/>
        <w:rPr>
          <w:rFonts w:ascii="宋体" w:hAnsi="宋体" w:eastAsia="宋体" w:cs="宋体"/>
          <w:sz w:val="24"/>
          <w:szCs w:val="24"/>
        </w:rPr>
      </w:pPr>
      <w:r>
        <w:rPr>
          <w:rFonts w:ascii="Times New Roman" w:hAnsi="Times New Roman" w:eastAsia="Times New Roman" w:cs="Times New Roman"/>
          <w:sz w:val="24"/>
          <w:szCs w:val="24"/>
        </w:rPr>
        <w:t xml:space="preserve">7.2.2    </w:t>
      </w:r>
      <w:r>
        <w:rPr>
          <w:rFonts w:ascii="宋体" w:hAnsi="宋体" w:eastAsia="宋体" w:cs="宋体"/>
          <w:sz w:val="24"/>
          <w:szCs w:val="24"/>
        </w:rPr>
        <w:t>通风机传动装置的外露部位以及直通大气的进、出风口</w:t>
      </w:r>
      <w:r>
        <w:rPr>
          <w:rFonts w:ascii="宋体" w:hAnsi="宋体" w:eastAsia="宋体" w:cs="宋体"/>
          <w:spacing w:val="-1"/>
          <w:sz w:val="24"/>
          <w:szCs w:val="24"/>
        </w:rPr>
        <w:t>，必须装设防护罩、防</w:t>
      </w:r>
      <w:r>
        <w:rPr>
          <w:rFonts w:ascii="宋体" w:hAnsi="宋体" w:eastAsia="宋体" w:cs="宋体"/>
          <w:sz w:val="24"/>
          <w:szCs w:val="24"/>
        </w:rPr>
        <w:t xml:space="preserve"> </w:t>
      </w:r>
      <w:r>
        <w:rPr>
          <w:rFonts w:ascii="宋体" w:hAnsi="宋体" w:eastAsia="宋体" w:cs="宋体"/>
          <w:spacing w:val="-3"/>
          <w:sz w:val="24"/>
          <w:szCs w:val="24"/>
        </w:rPr>
        <w:t>护网或采取其他安全防护措施。</w:t>
      </w:r>
    </w:p>
    <w:p w14:paraId="70F1F70B">
      <w:pPr>
        <w:spacing w:before="155" w:line="219"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7.2.10    </w:t>
      </w:r>
      <w:r>
        <w:rPr>
          <w:rFonts w:ascii="宋体" w:hAnsi="宋体" w:eastAsia="宋体" w:cs="宋体"/>
          <w:spacing w:val="-1"/>
          <w:sz w:val="24"/>
          <w:szCs w:val="24"/>
        </w:rPr>
        <w:t>静电式空气净化装置的金属外壳必须与</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 xml:space="preserve">PE </w:t>
      </w:r>
      <w:r>
        <w:rPr>
          <w:rFonts w:ascii="宋体" w:hAnsi="宋体" w:eastAsia="宋体" w:cs="宋体"/>
          <w:spacing w:val="-2"/>
          <w:sz w:val="24"/>
          <w:szCs w:val="24"/>
        </w:rPr>
        <w:t>线可靠连接。</w:t>
      </w:r>
    </w:p>
    <w:p w14:paraId="793159DF">
      <w:pPr>
        <w:spacing w:before="156" w:line="220" w:lineRule="auto"/>
        <w:ind w:left="5"/>
        <w:rPr>
          <w:rFonts w:ascii="宋体" w:hAnsi="宋体" w:eastAsia="宋体" w:cs="宋体"/>
          <w:sz w:val="24"/>
          <w:szCs w:val="24"/>
        </w:rPr>
      </w:pPr>
      <w:r>
        <w:rPr>
          <w:rFonts w:ascii="Times New Roman" w:hAnsi="Times New Roman" w:eastAsia="Times New Roman" w:cs="Times New Roman"/>
          <w:spacing w:val="-5"/>
          <w:sz w:val="24"/>
          <w:szCs w:val="24"/>
        </w:rPr>
        <w:t>7.2.11</w:t>
      </w:r>
      <w:r>
        <w:rPr>
          <w:rFonts w:ascii="Times New Roman" w:hAnsi="Times New Roman" w:eastAsia="Times New Roman" w:cs="Times New Roman"/>
          <w:spacing w:val="10"/>
          <w:sz w:val="24"/>
          <w:szCs w:val="24"/>
        </w:rPr>
        <w:t xml:space="preserve">    </w:t>
      </w:r>
      <w:r>
        <w:rPr>
          <w:rFonts w:ascii="宋体" w:hAnsi="宋体" w:eastAsia="宋体" w:cs="宋体"/>
          <w:spacing w:val="-5"/>
          <w:sz w:val="24"/>
          <w:szCs w:val="24"/>
        </w:rPr>
        <w:t>电加热器的安装必须符合下列规定：</w:t>
      </w:r>
    </w:p>
    <w:p w14:paraId="647713D8">
      <w:pPr>
        <w:spacing w:before="154" w:line="279" w:lineRule="auto"/>
        <w:ind w:left="245"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电加热器与钢构架间的绝热层必须采用不燃材料，外露的接线柱应加设安全防护</w:t>
      </w:r>
      <w:r>
        <w:rPr>
          <w:rFonts w:ascii="宋体" w:hAnsi="宋体" w:eastAsia="宋体" w:cs="宋体"/>
          <w:spacing w:val="10"/>
          <w:sz w:val="24"/>
          <w:szCs w:val="24"/>
        </w:rPr>
        <w:t xml:space="preserve"> </w:t>
      </w:r>
      <w:r>
        <w:rPr>
          <w:rFonts w:ascii="宋体" w:hAnsi="宋体" w:eastAsia="宋体" w:cs="宋体"/>
          <w:spacing w:val="-12"/>
          <w:sz w:val="24"/>
          <w:szCs w:val="24"/>
        </w:rPr>
        <w:t>罩。</w:t>
      </w:r>
    </w:p>
    <w:p w14:paraId="7CDBD685">
      <w:pPr>
        <w:spacing w:before="154" w:line="220" w:lineRule="auto"/>
        <w:ind w:left="241"/>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电加热器的外露可导电部分必须与</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PE</w:t>
      </w:r>
      <w:r>
        <w:rPr>
          <w:rFonts w:ascii="Times New Roman" w:hAnsi="Times New Roman" w:eastAsia="Times New Roman" w:cs="Times New Roman"/>
          <w:spacing w:val="12"/>
          <w:sz w:val="24"/>
          <w:szCs w:val="24"/>
        </w:rPr>
        <w:t xml:space="preserve"> </w:t>
      </w:r>
      <w:r>
        <w:rPr>
          <w:rFonts w:ascii="宋体" w:hAnsi="宋体" w:eastAsia="宋体" w:cs="宋体"/>
          <w:spacing w:val="-2"/>
          <w:sz w:val="24"/>
          <w:szCs w:val="24"/>
        </w:rPr>
        <w:t>线可靠连接。</w:t>
      </w:r>
    </w:p>
    <w:p w14:paraId="14063BE0">
      <w:pPr>
        <w:spacing w:before="154" w:line="219" w:lineRule="auto"/>
        <w:ind w:left="246"/>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连接电加热器抽象管的法兰垫片，应采用耐热不燃材料。</w:t>
      </w:r>
    </w:p>
    <w:p w14:paraId="4EEA7486">
      <w:pPr>
        <w:spacing w:before="156" w:line="219" w:lineRule="auto"/>
        <w:ind w:left="250"/>
        <w:rPr>
          <w:rFonts w:ascii="宋体" w:hAnsi="宋体" w:eastAsia="宋体" w:cs="宋体"/>
          <w:sz w:val="24"/>
          <w:szCs w:val="24"/>
        </w:rPr>
      </w:pPr>
      <w:r>
        <w:rPr>
          <w:rFonts w:ascii="Times New Roman" w:hAnsi="Times New Roman" w:eastAsia="Times New Roman" w:cs="Times New Roman"/>
          <w:spacing w:val="-2"/>
          <w:sz w:val="24"/>
          <w:szCs w:val="24"/>
        </w:rPr>
        <w:t xml:space="preserve">8.2.4    </w:t>
      </w:r>
      <w:r>
        <w:rPr>
          <w:rFonts w:ascii="宋体" w:hAnsi="宋体" w:eastAsia="宋体" w:cs="宋体"/>
          <w:spacing w:val="-2"/>
          <w:sz w:val="24"/>
          <w:szCs w:val="24"/>
        </w:rPr>
        <w:t>燃油管道系统必须设置可靠的防静电接地装置。</w:t>
      </w:r>
    </w:p>
    <w:p w14:paraId="2102A3E5">
      <w:pPr>
        <w:spacing w:before="155" w:line="220" w:lineRule="auto"/>
        <w:ind w:left="10"/>
        <w:rPr>
          <w:rFonts w:ascii="宋体" w:hAnsi="宋体" w:eastAsia="宋体" w:cs="宋体"/>
          <w:sz w:val="24"/>
          <w:szCs w:val="24"/>
        </w:rPr>
      </w:pPr>
      <w:r>
        <w:rPr>
          <w:rFonts w:ascii="Times New Roman" w:hAnsi="Times New Roman" w:eastAsia="Times New Roman" w:cs="Times New Roman"/>
          <w:spacing w:val="-3"/>
          <w:sz w:val="24"/>
          <w:szCs w:val="24"/>
        </w:rPr>
        <w:t xml:space="preserve">8.2.5    </w:t>
      </w:r>
      <w:r>
        <w:rPr>
          <w:rFonts w:ascii="宋体" w:hAnsi="宋体" w:eastAsia="宋体" w:cs="宋体"/>
          <w:spacing w:val="-3"/>
          <w:sz w:val="24"/>
          <w:szCs w:val="24"/>
        </w:rPr>
        <w:t>燃气管道的安装必须符合下列规定：</w:t>
      </w:r>
    </w:p>
    <w:p w14:paraId="132E489A">
      <w:pPr>
        <w:spacing w:before="154" w:line="219" w:lineRule="auto"/>
        <w:ind w:left="264"/>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燃气系统管道与机组的连接不得</w:t>
      </w:r>
      <w:r>
        <w:rPr>
          <w:rFonts w:ascii="宋体" w:hAnsi="宋体" w:eastAsia="宋体" w:cs="宋体"/>
          <w:spacing w:val="-3"/>
          <w:sz w:val="24"/>
          <w:szCs w:val="24"/>
        </w:rPr>
        <w:t>使用非金属软管。</w:t>
      </w:r>
    </w:p>
    <w:p w14:paraId="34FB394A">
      <w:pPr>
        <w:spacing w:before="156" w:line="279" w:lineRule="auto"/>
        <w:ind w:left="246" w:right="119" w:hanging="5"/>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当燃气供气管道压力大于</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5kPa</w:t>
      </w:r>
      <w:r>
        <w:rPr>
          <w:rFonts w:ascii="Times New Roman" w:hAnsi="Times New Roman" w:eastAsia="Times New Roman" w:cs="Times New Roman"/>
          <w:spacing w:val="20"/>
          <w:w w:val="101"/>
          <w:sz w:val="24"/>
          <w:szCs w:val="24"/>
        </w:rPr>
        <w:t xml:space="preserve"> </w:t>
      </w:r>
      <w:r>
        <w:rPr>
          <w:rFonts w:ascii="宋体" w:hAnsi="宋体" w:eastAsia="宋体" w:cs="宋体"/>
          <w:spacing w:val="-1"/>
          <w:sz w:val="24"/>
          <w:szCs w:val="24"/>
        </w:rPr>
        <w:t>时，焊缝无损检测应按设计要求执行；当设计无</w:t>
      </w:r>
      <w:r>
        <w:rPr>
          <w:rFonts w:ascii="宋体" w:hAnsi="宋体" w:eastAsia="宋体" w:cs="宋体"/>
          <w:sz w:val="24"/>
          <w:szCs w:val="24"/>
        </w:rPr>
        <w:t xml:space="preserve"> </w:t>
      </w:r>
      <w:r>
        <w:rPr>
          <w:rFonts w:ascii="宋体" w:hAnsi="宋体" w:eastAsia="宋体" w:cs="宋体"/>
          <w:spacing w:val="-3"/>
          <w:sz w:val="24"/>
          <w:szCs w:val="24"/>
        </w:rPr>
        <w:t>规定时，应对全部焊缝进行无损检测并合格。</w:t>
      </w:r>
    </w:p>
    <w:p w14:paraId="284882B2">
      <w:pPr>
        <w:spacing w:before="153" w:line="219" w:lineRule="auto"/>
        <w:ind w:left="246"/>
        <w:rPr>
          <w:rFonts w:ascii="宋体" w:hAnsi="宋体" w:eastAsia="宋体" w:cs="宋体"/>
          <w:sz w:val="24"/>
          <w:szCs w:val="24"/>
        </w:rPr>
      </w:pP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燃气管道吹扫和压力试验的介质应采用空</w:t>
      </w:r>
      <w:r>
        <w:rPr>
          <w:rFonts w:ascii="宋体" w:hAnsi="宋体" w:eastAsia="宋体" w:cs="宋体"/>
          <w:spacing w:val="-2"/>
          <w:sz w:val="24"/>
          <w:szCs w:val="24"/>
        </w:rPr>
        <w:t>气或氮气，严禁采用水。</w:t>
      </w:r>
    </w:p>
    <w:p w14:paraId="2664D6C0">
      <w:pPr>
        <w:spacing w:before="203" w:line="226" w:lineRule="auto"/>
        <w:outlineLvl w:val="1"/>
        <w:rPr>
          <w:rFonts w:ascii="宋体" w:hAnsi="宋体" w:eastAsia="宋体" w:cs="宋体"/>
          <w:sz w:val="27"/>
          <w:szCs w:val="27"/>
        </w:rPr>
      </w:pPr>
      <w:bookmarkStart w:id="65" w:name="bookmark112"/>
      <w:bookmarkEnd w:id="65"/>
      <w:r>
        <w:rPr>
          <w:rFonts w:ascii="Times New Roman" w:hAnsi="Times New Roman" w:eastAsia="Times New Roman" w:cs="Times New Roman"/>
          <w:b/>
          <w:bCs/>
          <w:spacing w:val="7"/>
          <w:sz w:val="27"/>
          <w:szCs w:val="27"/>
        </w:rPr>
        <w:t>3.</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7"/>
          <w:sz w:val="27"/>
          <w:szCs w:val="27"/>
        </w:rPr>
        <w:t xml:space="preserve">50268-2008  </w:t>
      </w:r>
      <w:r>
        <w:rPr>
          <w:rFonts w:ascii="宋体" w:hAnsi="宋体" w:eastAsia="宋体" w:cs="宋体"/>
          <w:b/>
          <w:bCs/>
          <w:spacing w:val="7"/>
          <w:sz w:val="27"/>
          <w:szCs w:val="27"/>
        </w:rPr>
        <w:t>给水排水管道工程施</w:t>
      </w:r>
      <w:r>
        <w:rPr>
          <w:rFonts w:ascii="宋体" w:hAnsi="宋体" w:eastAsia="宋体" w:cs="宋体"/>
          <w:b/>
          <w:bCs/>
          <w:spacing w:val="6"/>
          <w:sz w:val="27"/>
          <w:szCs w:val="27"/>
        </w:rPr>
        <w:t>工及验收规范【强条已废】</w:t>
      </w:r>
    </w:p>
    <w:p w14:paraId="49351009">
      <w:pPr>
        <w:spacing w:before="286"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GB55026-2022 </w:t>
      </w:r>
      <w:r>
        <w:rPr>
          <w:rFonts w:ascii="宋体" w:hAnsi="宋体" w:eastAsia="宋体" w:cs="宋体"/>
          <w:b/>
          <w:bCs/>
          <w:color w:val="0563C1"/>
          <w:spacing w:val="-2"/>
          <w:sz w:val="24"/>
          <w:szCs w:val="24"/>
          <w:u w:val="single" w:color="auto"/>
        </w:rPr>
        <w:t>城市给水工程项目规</w:t>
      </w:r>
      <w:r>
        <w:rPr>
          <w:rFonts w:ascii="宋体" w:hAnsi="宋体" w:eastAsia="宋体" w:cs="宋体"/>
          <w:b/>
          <w:bCs/>
          <w:color w:val="0563C1"/>
          <w:spacing w:val="-3"/>
          <w:sz w:val="24"/>
          <w:szCs w:val="24"/>
          <w:u w:val="single" w:color="auto"/>
        </w:rPr>
        <w:t>范</w:t>
      </w:r>
      <w:r>
        <w:rPr>
          <w:rFonts w:ascii="宋体" w:hAnsi="宋体" w:eastAsia="宋体" w:cs="宋体"/>
          <w:b/>
          <w:bCs/>
          <w:color w:val="EE0000"/>
          <w:spacing w:val="-3"/>
          <w:sz w:val="24"/>
          <w:szCs w:val="24"/>
        </w:rPr>
        <w:t>》替代</w:t>
      </w:r>
    </w:p>
    <w:p w14:paraId="0D6C86B1">
      <w:pPr>
        <w:spacing w:line="220" w:lineRule="auto"/>
        <w:rPr>
          <w:rFonts w:ascii="宋体" w:hAnsi="宋体" w:eastAsia="宋体" w:cs="宋体"/>
          <w:sz w:val="24"/>
          <w:szCs w:val="24"/>
        </w:rPr>
        <w:sectPr>
          <w:footerReference r:id="rId48" w:type="default"/>
          <w:pgSz w:w="11907" w:h="16839"/>
          <w:pgMar w:top="400" w:right="1489" w:bottom="743" w:left="1421" w:header="0" w:footer="582" w:gutter="0"/>
          <w:cols w:space="720" w:num="1"/>
        </w:sectPr>
      </w:pPr>
    </w:p>
    <w:p w14:paraId="66937F92">
      <w:pPr>
        <w:pStyle w:val="2"/>
        <w:spacing w:line="303" w:lineRule="auto"/>
      </w:pPr>
    </w:p>
    <w:p w14:paraId="1226CAE7">
      <w:pPr>
        <w:pStyle w:val="2"/>
        <w:spacing w:line="304" w:lineRule="auto"/>
      </w:pPr>
    </w:p>
    <w:p w14:paraId="2BC85788">
      <w:pPr>
        <w:pStyle w:val="2"/>
        <w:spacing w:line="304" w:lineRule="auto"/>
      </w:pPr>
    </w:p>
    <w:p w14:paraId="4AD88876">
      <w:pPr>
        <w:spacing w:before="78" w:line="298" w:lineRule="auto"/>
        <w:ind w:left="2" w:right="160" w:firstLine="18"/>
        <w:rPr>
          <w:rFonts w:ascii="宋体" w:hAnsi="宋体" w:eastAsia="宋体" w:cs="宋体"/>
          <w:sz w:val="24"/>
          <w:szCs w:val="24"/>
        </w:rPr>
      </w:pPr>
      <w:r>
        <w:rPr>
          <w:rFonts w:ascii="Times New Roman" w:hAnsi="Times New Roman" w:eastAsia="Times New Roman" w:cs="Times New Roman"/>
          <w:strike/>
          <w:spacing w:val="-1"/>
          <w:sz w:val="24"/>
          <w:szCs w:val="24"/>
        </w:rPr>
        <w:t xml:space="preserve">1.0.3    </w:t>
      </w:r>
      <w:r>
        <w:rPr>
          <w:rFonts w:ascii="宋体" w:hAnsi="宋体" w:eastAsia="宋体" w:cs="宋体"/>
          <w:strike/>
          <w:spacing w:val="-1"/>
          <w:sz w:val="24"/>
          <w:szCs w:val="24"/>
        </w:rPr>
        <w:t>给排水管道工程所用的原材料、半成品、成品等产品的品种、规格、性能必须</w:t>
      </w:r>
      <w:r>
        <w:rPr>
          <w:rFonts w:ascii="宋体" w:hAnsi="宋体" w:eastAsia="宋体" w:cs="宋体"/>
          <w:spacing w:val="13"/>
          <w:sz w:val="24"/>
          <w:szCs w:val="24"/>
        </w:rPr>
        <w:t xml:space="preserve"> </w:t>
      </w:r>
      <w:r>
        <w:rPr>
          <w:rFonts w:ascii="宋体" w:hAnsi="宋体" w:eastAsia="宋体" w:cs="宋体"/>
          <w:strike/>
          <w:sz w:val="24"/>
          <w:szCs w:val="24"/>
        </w:rPr>
        <w:t>符合国家有关标准的规定和设计要求；接触饮用水的产品必</w:t>
      </w:r>
      <w:r>
        <w:rPr>
          <w:rFonts w:ascii="宋体" w:hAnsi="宋体" w:eastAsia="宋体" w:cs="宋体"/>
          <w:strike/>
          <w:spacing w:val="-1"/>
          <w:sz w:val="24"/>
          <w:szCs w:val="24"/>
        </w:rPr>
        <w:t>须符合有关卫生要求。严</w:t>
      </w:r>
      <w:r>
        <w:rPr>
          <w:rFonts w:ascii="宋体" w:hAnsi="宋体" w:eastAsia="宋体" w:cs="宋体"/>
          <w:sz w:val="24"/>
          <w:szCs w:val="24"/>
        </w:rPr>
        <w:t xml:space="preserve"> </w:t>
      </w:r>
      <w:r>
        <w:rPr>
          <w:rFonts w:ascii="宋体" w:hAnsi="宋体" w:eastAsia="宋体" w:cs="宋体"/>
          <w:strike/>
          <w:spacing w:val="-1"/>
          <w:sz w:val="24"/>
          <w:szCs w:val="24"/>
        </w:rPr>
        <w:t>禁使用国家明令淘汰、禁用的产品。</w:t>
      </w:r>
    </w:p>
    <w:p w14:paraId="33F8D99A">
      <w:pPr>
        <w:spacing w:before="154" w:line="309" w:lineRule="auto"/>
        <w:ind w:left="2" w:right="160"/>
        <w:rPr>
          <w:rFonts w:ascii="宋体" w:hAnsi="宋体" w:eastAsia="宋体" w:cs="宋体"/>
          <w:sz w:val="24"/>
          <w:szCs w:val="24"/>
        </w:rPr>
      </w:pPr>
      <w:r>
        <w:rPr>
          <w:rFonts w:ascii="Times New Roman" w:hAnsi="Times New Roman" w:eastAsia="Times New Roman" w:cs="Times New Roman"/>
          <w:strike/>
          <w:sz w:val="24"/>
          <w:szCs w:val="24"/>
        </w:rPr>
        <w:t xml:space="preserve">3.1.9    </w:t>
      </w:r>
      <w:r>
        <w:rPr>
          <w:rFonts w:ascii="宋体" w:hAnsi="宋体" w:eastAsia="宋体" w:cs="宋体"/>
          <w:strike/>
          <w:sz w:val="24"/>
          <w:szCs w:val="24"/>
        </w:rPr>
        <w:t>工程所用的管材、管道附件、构（配）件和主要原材</w:t>
      </w:r>
      <w:r>
        <w:rPr>
          <w:rFonts w:ascii="宋体" w:hAnsi="宋体" w:eastAsia="宋体" w:cs="宋体"/>
          <w:strike/>
          <w:spacing w:val="-1"/>
          <w:sz w:val="24"/>
          <w:szCs w:val="24"/>
        </w:rPr>
        <w:t>料等产品进入施工现场时</w:t>
      </w:r>
      <w:r>
        <w:rPr>
          <w:rFonts w:ascii="宋体" w:hAnsi="宋体" w:eastAsia="宋体" w:cs="宋体"/>
          <w:sz w:val="24"/>
          <w:szCs w:val="24"/>
        </w:rPr>
        <w:t xml:space="preserve"> </w:t>
      </w:r>
      <w:r>
        <w:rPr>
          <w:rFonts w:ascii="宋体" w:hAnsi="宋体" w:eastAsia="宋体" w:cs="宋体"/>
          <w:strike/>
          <w:sz w:val="24"/>
          <w:szCs w:val="24"/>
        </w:rPr>
        <w:t>必须进行进场验收并妥善保管。进场验收时应检查每批产</w:t>
      </w:r>
      <w:r>
        <w:rPr>
          <w:rFonts w:ascii="宋体" w:hAnsi="宋体" w:eastAsia="宋体" w:cs="宋体"/>
          <w:strike/>
          <w:spacing w:val="-1"/>
          <w:sz w:val="24"/>
          <w:szCs w:val="24"/>
        </w:rPr>
        <w:t>品的订购合同、质量合格证</w:t>
      </w:r>
      <w:r>
        <w:rPr>
          <w:rFonts w:ascii="宋体" w:hAnsi="宋体" w:eastAsia="宋体" w:cs="宋体"/>
          <w:sz w:val="24"/>
          <w:szCs w:val="24"/>
        </w:rPr>
        <w:t xml:space="preserve"> </w:t>
      </w:r>
      <w:r>
        <w:rPr>
          <w:rFonts w:ascii="宋体" w:hAnsi="宋体" w:eastAsia="宋体" w:cs="宋体"/>
          <w:strike/>
          <w:sz w:val="24"/>
          <w:szCs w:val="24"/>
        </w:rPr>
        <w:t>书、性能检验报告、使用说明书、进口产品的商检报告及</w:t>
      </w:r>
      <w:r>
        <w:rPr>
          <w:rFonts w:ascii="宋体" w:hAnsi="宋体" w:eastAsia="宋体" w:cs="宋体"/>
          <w:strike/>
          <w:spacing w:val="-1"/>
          <w:sz w:val="24"/>
          <w:szCs w:val="24"/>
        </w:rPr>
        <w:t>证件等，并按国家有关标准</w:t>
      </w:r>
      <w:r>
        <w:rPr>
          <w:rFonts w:ascii="宋体" w:hAnsi="宋体" w:eastAsia="宋体" w:cs="宋体"/>
          <w:sz w:val="24"/>
          <w:szCs w:val="24"/>
        </w:rPr>
        <w:t xml:space="preserve"> </w:t>
      </w:r>
      <w:r>
        <w:rPr>
          <w:rFonts w:ascii="宋体" w:hAnsi="宋体" w:eastAsia="宋体" w:cs="宋体"/>
          <w:strike/>
          <w:spacing w:val="-1"/>
          <w:sz w:val="24"/>
          <w:szCs w:val="24"/>
        </w:rPr>
        <w:t>规定进行复验，验收合格后方可使用。</w:t>
      </w:r>
    </w:p>
    <w:p w14:paraId="1D473DA5">
      <w:pPr>
        <w:spacing w:before="154" w:line="220" w:lineRule="auto"/>
        <w:ind w:left="2"/>
        <w:rPr>
          <w:rFonts w:ascii="宋体" w:hAnsi="宋体" w:eastAsia="宋体" w:cs="宋体"/>
          <w:sz w:val="24"/>
          <w:szCs w:val="24"/>
        </w:rPr>
      </w:pPr>
      <w:r>
        <w:rPr>
          <w:rFonts w:ascii="Times New Roman" w:hAnsi="Times New Roman" w:eastAsia="Times New Roman" w:cs="Times New Roman"/>
          <w:strike/>
          <w:sz w:val="24"/>
          <w:szCs w:val="24"/>
        </w:rPr>
        <w:t xml:space="preserve">3.1.15    </w:t>
      </w:r>
      <w:r>
        <w:rPr>
          <w:rFonts w:ascii="宋体" w:hAnsi="宋体" w:eastAsia="宋体" w:cs="宋体"/>
          <w:strike/>
          <w:sz w:val="24"/>
          <w:szCs w:val="24"/>
        </w:rPr>
        <w:t>给排水管道工程施工质</w:t>
      </w:r>
      <w:r>
        <w:rPr>
          <w:rFonts w:ascii="宋体" w:hAnsi="宋体" w:eastAsia="宋体" w:cs="宋体"/>
          <w:strike/>
          <w:spacing w:val="-1"/>
          <w:sz w:val="24"/>
          <w:szCs w:val="24"/>
        </w:rPr>
        <w:t>量控制应符合下列规定：</w:t>
      </w:r>
    </w:p>
    <w:p w14:paraId="343FD6AC">
      <w:pPr>
        <w:spacing w:before="154" w:line="279" w:lineRule="auto"/>
        <w:ind w:left="2" w:right="160" w:firstLine="49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各分项工程应按照施工技术标准进行质量控制，每分项工程完成后，必须进行</w:t>
      </w:r>
      <w:r>
        <w:rPr>
          <w:rFonts w:ascii="宋体" w:hAnsi="宋体" w:eastAsia="宋体" w:cs="宋体"/>
          <w:spacing w:val="7"/>
          <w:sz w:val="24"/>
          <w:szCs w:val="24"/>
        </w:rPr>
        <w:t xml:space="preserve"> </w:t>
      </w:r>
      <w:r>
        <w:rPr>
          <w:rFonts w:ascii="宋体" w:hAnsi="宋体" w:eastAsia="宋体" w:cs="宋体"/>
          <w:strike/>
          <w:spacing w:val="-3"/>
          <w:sz w:val="24"/>
          <w:szCs w:val="24"/>
        </w:rPr>
        <w:t>检验；</w:t>
      </w:r>
    </w:p>
    <w:p w14:paraId="5470FC2A">
      <w:pPr>
        <w:spacing w:before="154" w:line="279" w:lineRule="auto"/>
        <w:ind w:left="10" w:right="160" w:firstLine="467"/>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相关各分项工程之间，必须进行交接检验，所有隐蔽分项工程</w:t>
      </w:r>
      <w:r>
        <w:rPr>
          <w:rFonts w:ascii="宋体" w:hAnsi="宋体" w:eastAsia="宋体" w:cs="宋体"/>
          <w:strike/>
          <w:spacing w:val="-1"/>
          <w:sz w:val="24"/>
          <w:szCs w:val="24"/>
        </w:rPr>
        <w:t>必须进行隐蔽验</w:t>
      </w:r>
      <w:r>
        <w:rPr>
          <w:rFonts w:ascii="宋体" w:hAnsi="宋体" w:eastAsia="宋体" w:cs="宋体"/>
          <w:sz w:val="24"/>
          <w:szCs w:val="24"/>
        </w:rPr>
        <w:t xml:space="preserve"> </w:t>
      </w:r>
      <w:r>
        <w:rPr>
          <w:rFonts w:ascii="宋体" w:hAnsi="宋体" w:eastAsia="宋体" w:cs="宋体"/>
          <w:strike/>
          <w:spacing w:val="-1"/>
          <w:sz w:val="24"/>
          <w:szCs w:val="24"/>
        </w:rPr>
        <w:t>收，未经验收或验收不合格不得进行下道分项工程。</w:t>
      </w:r>
    </w:p>
    <w:p w14:paraId="46015FBF">
      <w:pPr>
        <w:spacing w:before="155" w:line="279" w:lineRule="auto"/>
        <w:ind w:left="1" w:right="160" w:firstLine="1"/>
        <w:rPr>
          <w:rFonts w:ascii="宋体" w:hAnsi="宋体" w:eastAsia="宋体" w:cs="宋体"/>
          <w:sz w:val="24"/>
          <w:szCs w:val="24"/>
        </w:rPr>
      </w:pPr>
      <w:r>
        <w:rPr>
          <w:rFonts w:ascii="Times New Roman" w:hAnsi="Times New Roman" w:eastAsia="Times New Roman" w:cs="Times New Roman"/>
          <w:strike/>
          <w:sz w:val="24"/>
          <w:szCs w:val="24"/>
        </w:rPr>
        <w:t xml:space="preserve">3.2.8    </w:t>
      </w:r>
      <w:r>
        <w:rPr>
          <w:rFonts w:ascii="宋体" w:hAnsi="宋体" w:eastAsia="宋体" w:cs="宋体"/>
          <w:strike/>
          <w:sz w:val="24"/>
          <w:szCs w:val="24"/>
        </w:rPr>
        <w:t>通过返修或加固处理仍不能满足结构安全或使用功能</w:t>
      </w:r>
      <w:r>
        <w:rPr>
          <w:rFonts w:ascii="宋体" w:hAnsi="宋体" w:eastAsia="宋体" w:cs="宋体"/>
          <w:strike/>
          <w:spacing w:val="-1"/>
          <w:sz w:val="24"/>
          <w:szCs w:val="24"/>
        </w:rPr>
        <w:t>要求的分部（子分部）工</w:t>
      </w:r>
      <w:r>
        <w:rPr>
          <w:rFonts w:ascii="宋体" w:hAnsi="宋体" w:eastAsia="宋体" w:cs="宋体"/>
          <w:sz w:val="24"/>
          <w:szCs w:val="24"/>
        </w:rPr>
        <w:t xml:space="preserve"> </w:t>
      </w:r>
      <w:r>
        <w:rPr>
          <w:rFonts w:ascii="宋体" w:hAnsi="宋体" w:eastAsia="宋体" w:cs="宋体"/>
          <w:strike/>
          <w:spacing w:val="-1"/>
          <w:sz w:val="24"/>
          <w:szCs w:val="24"/>
        </w:rPr>
        <w:t>程、单位（子单位）工程，严禁验收。</w:t>
      </w:r>
    </w:p>
    <w:p w14:paraId="5390353A">
      <w:pPr>
        <w:spacing w:before="154" w:line="279" w:lineRule="auto"/>
        <w:ind w:left="3" w:right="40" w:hanging="1"/>
        <w:rPr>
          <w:rFonts w:ascii="宋体" w:hAnsi="宋体" w:eastAsia="宋体" w:cs="宋体"/>
          <w:sz w:val="24"/>
          <w:szCs w:val="24"/>
        </w:rPr>
      </w:pPr>
      <w:r>
        <w:rPr>
          <w:rFonts w:ascii="Times New Roman" w:hAnsi="Times New Roman" w:eastAsia="Times New Roman" w:cs="Times New Roman"/>
          <w:strike/>
          <w:sz w:val="24"/>
          <w:szCs w:val="24"/>
        </w:rPr>
        <w:t xml:space="preserve">9.1.10    </w:t>
      </w:r>
      <w:r>
        <w:rPr>
          <w:rFonts w:ascii="宋体" w:hAnsi="宋体" w:eastAsia="宋体" w:cs="宋体"/>
          <w:strike/>
          <w:sz w:val="24"/>
          <w:szCs w:val="24"/>
        </w:rPr>
        <w:t>给水管道必须水压试验合格，并网运行前进行冲洗与</w:t>
      </w:r>
      <w:r>
        <w:rPr>
          <w:rFonts w:ascii="宋体" w:hAnsi="宋体" w:eastAsia="宋体" w:cs="宋体"/>
          <w:strike/>
          <w:spacing w:val="-1"/>
          <w:sz w:val="24"/>
          <w:szCs w:val="24"/>
        </w:rPr>
        <w:t>消毒，经检验水质达到标</w:t>
      </w:r>
      <w:r>
        <w:rPr>
          <w:rFonts w:ascii="宋体" w:hAnsi="宋体" w:eastAsia="宋体" w:cs="宋体"/>
          <w:sz w:val="24"/>
          <w:szCs w:val="24"/>
        </w:rPr>
        <w:t xml:space="preserve"> </w:t>
      </w:r>
      <w:r>
        <w:rPr>
          <w:rFonts w:ascii="宋体" w:hAnsi="宋体" w:eastAsia="宋体" w:cs="宋体"/>
          <w:strike/>
          <w:spacing w:val="-1"/>
          <w:sz w:val="24"/>
          <w:szCs w:val="24"/>
        </w:rPr>
        <w:t>准后，方可允许并网通水投入运行。</w:t>
      </w:r>
    </w:p>
    <w:p w14:paraId="1BA4026C">
      <w:pPr>
        <w:spacing w:before="154" w:line="279" w:lineRule="auto"/>
        <w:ind w:left="5" w:right="49" w:hanging="3"/>
        <w:rPr>
          <w:rFonts w:ascii="宋体" w:hAnsi="宋体" w:eastAsia="宋体" w:cs="宋体"/>
          <w:sz w:val="24"/>
          <w:szCs w:val="24"/>
        </w:rPr>
      </w:pPr>
      <w:r>
        <w:rPr>
          <w:rFonts w:ascii="Times New Roman" w:hAnsi="Times New Roman" w:eastAsia="Times New Roman" w:cs="Times New Roman"/>
          <w:strike/>
          <w:sz w:val="24"/>
          <w:szCs w:val="24"/>
        </w:rPr>
        <w:t xml:space="preserve">9.1.11    </w:t>
      </w:r>
      <w:r>
        <w:rPr>
          <w:rFonts w:ascii="宋体" w:hAnsi="宋体" w:eastAsia="宋体" w:cs="宋体"/>
          <w:strike/>
          <w:sz w:val="24"/>
          <w:szCs w:val="24"/>
        </w:rPr>
        <w:t>污水、雨污水合流管道及湿陷土</w:t>
      </w:r>
      <w:r>
        <w:rPr>
          <w:rFonts w:ascii="宋体" w:hAnsi="宋体" w:eastAsia="宋体" w:cs="宋体"/>
          <w:strike/>
          <w:spacing w:val="-1"/>
          <w:sz w:val="24"/>
          <w:szCs w:val="24"/>
        </w:rPr>
        <w:t>、膨胀土、流砂地区的雨水管道，回填土前必</w:t>
      </w:r>
      <w:r>
        <w:rPr>
          <w:rFonts w:ascii="宋体" w:hAnsi="宋体" w:eastAsia="宋体" w:cs="宋体"/>
          <w:sz w:val="24"/>
          <w:szCs w:val="24"/>
        </w:rPr>
        <w:t xml:space="preserve"> </w:t>
      </w:r>
      <w:r>
        <w:rPr>
          <w:rFonts w:ascii="宋体" w:hAnsi="宋体" w:eastAsia="宋体" w:cs="宋体"/>
          <w:strike/>
          <w:spacing w:val="-1"/>
          <w:sz w:val="24"/>
          <w:szCs w:val="24"/>
        </w:rPr>
        <w:t>须经严密性试验合格后方可投入运行。</w:t>
      </w:r>
    </w:p>
    <w:p w14:paraId="160476D9">
      <w:pPr>
        <w:spacing w:before="202" w:line="226" w:lineRule="auto"/>
        <w:outlineLvl w:val="1"/>
        <w:rPr>
          <w:rFonts w:ascii="宋体" w:hAnsi="宋体" w:eastAsia="宋体" w:cs="宋体"/>
          <w:sz w:val="27"/>
          <w:szCs w:val="27"/>
        </w:rPr>
      </w:pPr>
      <w:bookmarkStart w:id="66" w:name="bookmark113"/>
      <w:bookmarkEnd w:id="66"/>
      <w:r>
        <w:rPr>
          <w:rFonts w:ascii="Times New Roman" w:hAnsi="Times New Roman" w:eastAsia="Times New Roman" w:cs="Times New Roman"/>
          <w:b/>
          <w:bCs/>
          <w:spacing w:val="7"/>
          <w:sz w:val="27"/>
          <w:szCs w:val="27"/>
        </w:rPr>
        <w:t>4.</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7"/>
          <w:sz w:val="27"/>
          <w:szCs w:val="27"/>
        </w:rPr>
        <w:t xml:space="preserve">50303-2015  </w:t>
      </w:r>
      <w:r>
        <w:rPr>
          <w:rFonts w:ascii="宋体" w:hAnsi="宋体" w:eastAsia="宋体" w:cs="宋体"/>
          <w:b/>
          <w:bCs/>
          <w:spacing w:val="7"/>
          <w:sz w:val="27"/>
          <w:szCs w:val="27"/>
        </w:rPr>
        <w:t>建筑电气工</w:t>
      </w:r>
      <w:r>
        <w:rPr>
          <w:rFonts w:ascii="宋体" w:hAnsi="宋体" w:eastAsia="宋体" w:cs="宋体"/>
          <w:b/>
          <w:bCs/>
          <w:spacing w:val="6"/>
          <w:sz w:val="27"/>
          <w:szCs w:val="27"/>
        </w:rPr>
        <w:t>程施工质量验收规范【强条已废】</w:t>
      </w:r>
    </w:p>
    <w:p w14:paraId="3A892EE8">
      <w:pPr>
        <w:pStyle w:val="2"/>
        <w:spacing w:before="253" w:line="220" w:lineRule="auto"/>
        <w:ind w:left="29"/>
        <w:rPr>
          <w:rFonts w:ascii="宋体" w:hAnsi="宋体" w:eastAsia="宋体" w:cs="宋体"/>
          <w:sz w:val="24"/>
          <w:szCs w:val="24"/>
        </w:rPr>
      </w:pPr>
      <w:r>
        <w:rPr>
          <w:rFonts w:ascii="宋体" w:hAnsi="宋体" w:eastAsia="宋体" w:cs="宋体"/>
          <w:b/>
          <w:bCs/>
          <w:color w:val="EE0000"/>
          <w:spacing w:val="-2"/>
          <w:sz w:val="24"/>
          <w:szCs w:val="24"/>
        </w:rPr>
        <w:t>以下条目已被《</w:t>
      </w:r>
      <w:r>
        <w:rPr>
          <w:b/>
          <w:bCs/>
          <w:color w:val="EE0000"/>
          <w:spacing w:val="-2"/>
          <w:sz w:val="24"/>
          <w:szCs w:val="24"/>
          <w:u w:val="single" w:color="auto"/>
        </w:rPr>
        <w:t xml:space="preserve">GB55024-2022 </w:t>
      </w:r>
      <w:r>
        <w:rPr>
          <w:rFonts w:ascii="宋体" w:hAnsi="宋体" w:eastAsia="宋体" w:cs="宋体"/>
          <w:b/>
          <w:bCs/>
          <w:color w:val="EE0000"/>
          <w:spacing w:val="-2"/>
          <w:sz w:val="24"/>
          <w:szCs w:val="24"/>
          <w:u w:val="single" w:color="auto"/>
        </w:rPr>
        <w:t>建筑电气与智能化通用规范</w:t>
      </w:r>
      <w:r>
        <w:rPr>
          <w:rFonts w:ascii="宋体" w:hAnsi="宋体" w:eastAsia="宋体" w:cs="宋体"/>
          <w:b/>
          <w:bCs/>
          <w:color w:val="EE0000"/>
          <w:spacing w:val="-2"/>
          <w:sz w:val="24"/>
          <w:szCs w:val="24"/>
        </w:rPr>
        <w:t>》替代</w:t>
      </w:r>
    </w:p>
    <w:p w14:paraId="292DC468">
      <w:pPr>
        <w:pStyle w:val="2"/>
        <w:spacing w:before="172" w:line="328" w:lineRule="exact"/>
        <w:ind w:left="3"/>
        <w:rPr>
          <w:rFonts w:ascii="宋体" w:hAnsi="宋体" w:eastAsia="宋体" w:cs="宋体"/>
          <w:sz w:val="24"/>
          <w:szCs w:val="24"/>
        </w:rPr>
      </w:pPr>
      <w:r>
        <w:rPr>
          <w:strike/>
          <w:color w:val="202935"/>
          <w:position w:val="1"/>
          <w:sz w:val="24"/>
          <w:szCs w:val="24"/>
        </w:rPr>
        <w:t xml:space="preserve">3.1.5    </w:t>
      </w:r>
      <w:r>
        <w:rPr>
          <w:rFonts w:ascii="宋体" w:hAnsi="宋体" w:eastAsia="宋体" w:cs="宋体"/>
          <w:strike/>
          <w:color w:val="202935"/>
          <w:position w:val="1"/>
          <w:sz w:val="24"/>
          <w:szCs w:val="24"/>
        </w:rPr>
        <w:t>高压的电气设备、布线系统以及继电保护</w:t>
      </w:r>
      <w:r>
        <w:rPr>
          <w:rFonts w:ascii="宋体" w:hAnsi="宋体" w:eastAsia="宋体" w:cs="宋体"/>
          <w:strike/>
          <w:color w:val="202935"/>
          <w:spacing w:val="-1"/>
          <w:position w:val="1"/>
          <w:sz w:val="24"/>
          <w:szCs w:val="24"/>
        </w:rPr>
        <w:t>系统必须交接试验合格。</w:t>
      </w:r>
    </w:p>
    <w:p w14:paraId="0A88BBF0">
      <w:pPr>
        <w:pStyle w:val="2"/>
        <w:spacing w:before="112" w:line="295" w:lineRule="auto"/>
        <w:ind w:left="2" w:right="80"/>
        <w:rPr>
          <w:rFonts w:ascii="宋体" w:hAnsi="宋体" w:eastAsia="宋体" w:cs="宋体"/>
          <w:sz w:val="24"/>
          <w:szCs w:val="24"/>
        </w:rPr>
      </w:pPr>
      <w:r>
        <w:rPr>
          <w:strike/>
          <w:color w:val="202935"/>
          <w:sz w:val="24"/>
          <w:szCs w:val="24"/>
        </w:rPr>
        <w:t xml:space="preserve">3.1.7    </w:t>
      </w:r>
      <w:r>
        <w:rPr>
          <w:rFonts w:ascii="宋体" w:hAnsi="宋体" w:eastAsia="宋体" w:cs="宋体"/>
          <w:strike/>
          <w:color w:val="202935"/>
          <w:sz w:val="24"/>
          <w:szCs w:val="24"/>
        </w:rPr>
        <w:t>电气设备的外露可导电部分应单独与保护导体相连</w:t>
      </w:r>
      <w:r>
        <w:rPr>
          <w:rFonts w:ascii="宋体" w:hAnsi="宋体" w:eastAsia="宋体" w:cs="宋体"/>
          <w:strike/>
          <w:color w:val="202935"/>
          <w:spacing w:val="-1"/>
          <w:sz w:val="24"/>
          <w:szCs w:val="24"/>
        </w:rPr>
        <w:t>接，不得串联连接，连接导</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体的材质、截面积应符合设计要求。</w:t>
      </w:r>
    </w:p>
    <w:p w14:paraId="2AB1DD5C">
      <w:pPr>
        <w:pStyle w:val="2"/>
        <w:spacing w:before="112" w:line="297" w:lineRule="auto"/>
        <w:ind w:left="1" w:right="320"/>
        <w:rPr>
          <w:rFonts w:ascii="宋体" w:hAnsi="宋体" w:eastAsia="宋体" w:cs="宋体"/>
          <w:sz w:val="24"/>
          <w:szCs w:val="24"/>
        </w:rPr>
      </w:pPr>
      <w:r>
        <w:rPr>
          <w:strike/>
          <w:color w:val="202935"/>
          <w:sz w:val="24"/>
          <w:szCs w:val="24"/>
        </w:rPr>
        <w:t xml:space="preserve">6.1.1    </w:t>
      </w:r>
      <w:r>
        <w:rPr>
          <w:rFonts w:ascii="宋体" w:hAnsi="宋体" w:eastAsia="宋体" w:cs="宋体"/>
          <w:strike/>
          <w:color w:val="202935"/>
          <w:sz w:val="24"/>
          <w:szCs w:val="24"/>
        </w:rPr>
        <w:t>电动机、电加热器及电动执行机构的外露可导电部</w:t>
      </w:r>
      <w:r>
        <w:rPr>
          <w:rFonts w:ascii="宋体" w:hAnsi="宋体" w:eastAsia="宋体" w:cs="宋体"/>
          <w:strike/>
          <w:color w:val="202935"/>
          <w:spacing w:val="-1"/>
          <w:sz w:val="24"/>
          <w:szCs w:val="24"/>
        </w:rPr>
        <w:t>分必须与保护导体可靠连</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接。</w:t>
      </w:r>
    </w:p>
    <w:p w14:paraId="37FA0CE0">
      <w:pPr>
        <w:pStyle w:val="2"/>
        <w:spacing w:before="109" w:line="335" w:lineRule="auto"/>
        <w:ind w:left="18" w:right="88" w:hanging="16"/>
        <w:rPr>
          <w:rFonts w:ascii="宋体" w:hAnsi="宋体" w:eastAsia="宋体" w:cs="宋体"/>
          <w:sz w:val="24"/>
          <w:szCs w:val="24"/>
        </w:rPr>
      </w:pPr>
      <w:r>
        <w:rPr>
          <w:rFonts w:ascii="宋体" w:hAnsi="宋体" w:eastAsia="宋体" w:cs="宋体"/>
          <w:strike/>
          <w:color w:val="202935"/>
          <w:spacing w:val="-1"/>
          <w:sz w:val="24"/>
          <w:szCs w:val="24"/>
        </w:rPr>
        <w:t>检查数量：电动机、电加热器全数检查，电动执行机构</w:t>
      </w:r>
      <w:r>
        <w:rPr>
          <w:rFonts w:ascii="宋体" w:hAnsi="宋体" w:eastAsia="宋体" w:cs="宋体"/>
          <w:strike/>
          <w:color w:val="202935"/>
          <w:spacing w:val="-2"/>
          <w:sz w:val="24"/>
          <w:szCs w:val="24"/>
        </w:rPr>
        <w:t>按总数抽查</w:t>
      </w:r>
      <w:r>
        <w:rPr>
          <w:rFonts w:ascii="宋体" w:hAnsi="宋体" w:eastAsia="宋体" w:cs="宋体"/>
          <w:strike/>
          <w:color w:val="202935"/>
          <w:spacing w:val="-34"/>
          <w:sz w:val="24"/>
          <w:szCs w:val="24"/>
        </w:rPr>
        <w:t xml:space="preserve"> </w:t>
      </w:r>
      <w:r>
        <w:rPr>
          <w:strike/>
          <w:color w:val="202935"/>
          <w:spacing w:val="-2"/>
          <w:sz w:val="24"/>
          <w:szCs w:val="24"/>
        </w:rPr>
        <w:t>10</w:t>
      </w:r>
      <w:r>
        <w:rPr>
          <w:rFonts w:ascii="宋体" w:hAnsi="宋体" w:eastAsia="宋体" w:cs="宋体"/>
          <w:strike/>
          <w:color w:val="202935"/>
          <w:spacing w:val="-2"/>
          <w:sz w:val="24"/>
          <w:szCs w:val="24"/>
        </w:rPr>
        <w:t>％，且不得少于</w:t>
      </w:r>
      <w:r>
        <w:rPr>
          <w:rFonts w:ascii="宋体" w:hAnsi="宋体" w:eastAsia="宋体" w:cs="宋体"/>
          <w:color w:val="202935"/>
          <w:sz w:val="24"/>
          <w:szCs w:val="24"/>
        </w:rPr>
        <w:t xml:space="preserve"> </w:t>
      </w:r>
      <w:r>
        <w:rPr>
          <w:strike/>
          <w:color w:val="202935"/>
          <w:spacing w:val="-14"/>
          <w:sz w:val="24"/>
          <w:szCs w:val="24"/>
        </w:rPr>
        <w:t>1</w:t>
      </w:r>
      <w:r>
        <w:rPr>
          <w:strike/>
          <w:color w:val="202935"/>
          <w:spacing w:val="21"/>
          <w:w w:val="101"/>
          <w:sz w:val="24"/>
          <w:szCs w:val="24"/>
        </w:rPr>
        <w:t xml:space="preserve"> </w:t>
      </w:r>
      <w:r>
        <w:rPr>
          <w:rFonts w:ascii="宋体" w:hAnsi="宋体" w:eastAsia="宋体" w:cs="宋体"/>
          <w:strike/>
          <w:color w:val="202935"/>
          <w:spacing w:val="-14"/>
          <w:sz w:val="24"/>
          <w:szCs w:val="24"/>
        </w:rPr>
        <w:t>台。</w:t>
      </w:r>
    </w:p>
    <w:p w14:paraId="650C7404">
      <w:pPr>
        <w:spacing w:before="52"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检查方法：观察检查并用工具拧紧检查。</w:t>
      </w:r>
    </w:p>
    <w:p w14:paraId="1D6F0519">
      <w:pPr>
        <w:pStyle w:val="2"/>
        <w:spacing w:before="109" w:line="335" w:lineRule="auto"/>
        <w:ind w:left="3" w:right="187" w:firstLine="15"/>
        <w:rPr>
          <w:rFonts w:ascii="宋体" w:hAnsi="宋体" w:eastAsia="宋体" w:cs="宋体"/>
          <w:sz w:val="24"/>
          <w:szCs w:val="24"/>
        </w:rPr>
      </w:pPr>
      <w:r>
        <w:rPr>
          <w:strike/>
          <w:color w:val="202935"/>
          <w:spacing w:val="-1"/>
          <w:sz w:val="24"/>
          <w:szCs w:val="24"/>
        </w:rPr>
        <w:t xml:space="preserve">10.1.1    </w:t>
      </w:r>
      <w:r>
        <w:rPr>
          <w:rFonts w:ascii="宋体" w:hAnsi="宋体" w:eastAsia="宋体" w:cs="宋体"/>
          <w:strike/>
          <w:color w:val="202935"/>
          <w:spacing w:val="-1"/>
          <w:sz w:val="24"/>
          <w:szCs w:val="24"/>
        </w:rPr>
        <w:t>母线槽的金属外壳等外露可导电部分应与保护导体可靠连接，并应符合下列</w:t>
      </w:r>
      <w:r>
        <w:rPr>
          <w:rFonts w:ascii="宋体" w:hAnsi="宋体" w:eastAsia="宋体" w:cs="宋体"/>
          <w:color w:val="202935"/>
          <w:spacing w:val="15"/>
          <w:sz w:val="24"/>
          <w:szCs w:val="24"/>
        </w:rPr>
        <w:t xml:space="preserve"> </w:t>
      </w:r>
      <w:r>
        <w:rPr>
          <w:rFonts w:ascii="宋体" w:hAnsi="宋体" w:eastAsia="宋体" w:cs="宋体"/>
          <w:strike/>
          <w:color w:val="202935"/>
          <w:spacing w:val="-3"/>
          <w:sz w:val="24"/>
          <w:szCs w:val="24"/>
        </w:rPr>
        <w:t>规定：</w:t>
      </w:r>
    </w:p>
    <w:p w14:paraId="0AA035FB">
      <w:pPr>
        <w:pStyle w:val="2"/>
        <w:spacing w:before="54" w:line="220" w:lineRule="auto"/>
        <w:jc w:val="right"/>
        <w:rPr>
          <w:rFonts w:ascii="宋体" w:hAnsi="宋体" w:eastAsia="宋体" w:cs="宋体"/>
          <w:sz w:val="24"/>
          <w:szCs w:val="24"/>
        </w:rPr>
      </w:pPr>
      <w:r>
        <w:rPr>
          <w:strike/>
          <w:color w:val="202935"/>
          <w:spacing w:val="-1"/>
          <w:sz w:val="24"/>
          <w:szCs w:val="24"/>
        </w:rPr>
        <w:t xml:space="preserve">1    </w:t>
      </w:r>
      <w:r>
        <w:rPr>
          <w:rFonts w:ascii="宋体" w:hAnsi="宋体" w:eastAsia="宋体" w:cs="宋体"/>
          <w:strike/>
          <w:color w:val="202935"/>
          <w:spacing w:val="-1"/>
          <w:sz w:val="24"/>
          <w:szCs w:val="24"/>
        </w:rPr>
        <w:t>每段母线槽的金属外壳间应连接可靠，且母线槽全长与保护导体可靠连接不应少于</w:t>
      </w:r>
    </w:p>
    <w:p w14:paraId="7FD3BEF2">
      <w:pPr>
        <w:pStyle w:val="2"/>
        <w:spacing w:before="153" w:line="222" w:lineRule="auto"/>
        <w:rPr>
          <w:rFonts w:ascii="宋体" w:hAnsi="宋体" w:eastAsia="宋体" w:cs="宋体"/>
          <w:sz w:val="24"/>
          <w:szCs w:val="24"/>
        </w:rPr>
      </w:pPr>
      <w:r>
        <w:rPr>
          <w:strike/>
          <w:color w:val="202935"/>
          <w:spacing w:val="-5"/>
          <w:sz w:val="24"/>
          <w:szCs w:val="24"/>
        </w:rPr>
        <w:t>2</w:t>
      </w:r>
      <w:r>
        <w:rPr>
          <w:strike/>
          <w:color w:val="202935"/>
          <w:spacing w:val="7"/>
          <w:sz w:val="24"/>
          <w:szCs w:val="24"/>
        </w:rPr>
        <w:t xml:space="preserve"> </w:t>
      </w:r>
      <w:r>
        <w:rPr>
          <w:rFonts w:ascii="宋体" w:hAnsi="宋体" w:eastAsia="宋体" w:cs="宋体"/>
          <w:strike/>
          <w:color w:val="202935"/>
          <w:spacing w:val="-5"/>
          <w:sz w:val="24"/>
          <w:szCs w:val="24"/>
        </w:rPr>
        <w:t>处；</w:t>
      </w:r>
    </w:p>
    <w:p w14:paraId="385AF736">
      <w:pPr>
        <w:spacing w:line="222" w:lineRule="auto"/>
        <w:rPr>
          <w:rFonts w:ascii="宋体" w:hAnsi="宋体" w:eastAsia="宋体" w:cs="宋体"/>
          <w:sz w:val="24"/>
          <w:szCs w:val="24"/>
        </w:rPr>
        <w:sectPr>
          <w:footerReference r:id="rId49" w:type="default"/>
          <w:pgSz w:w="11907" w:h="16839"/>
          <w:pgMar w:top="400" w:right="1448" w:bottom="743" w:left="1424" w:header="0" w:footer="582" w:gutter="0"/>
          <w:cols w:space="720" w:num="1"/>
        </w:sectPr>
      </w:pPr>
    </w:p>
    <w:p w14:paraId="700240E6">
      <w:pPr>
        <w:pStyle w:val="2"/>
        <w:spacing w:line="303" w:lineRule="auto"/>
      </w:pPr>
    </w:p>
    <w:p w14:paraId="4E249E09">
      <w:pPr>
        <w:pStyle w:val="2"/>
        <w:spacing w:line="303" w:lineRule="auto"/>
      </w:pPr>
    </w:p>
    <w:p w14:paraId="1A0B7A04">
      <w:pPr>
        <w:pStyle w:val="2"/>
        <w:spacing w:line="303" w:lineRule="auto"/>
      </w:pPr>
    </w:p>
    <w:p w14:paraId="2620DB4E">
      <w:pPr>
        <w:pStyle w:val="2"/>
        <w:spacing w:before="78" w:line="220" w:lineRule="auto"/>
        <w:rPr>
          <w:rFonts w:ascii="宋体" w:hAnsi="宋体" w:eastAsia="宋体" w:cs="宋体"/>
          <w:sz w:val="24"/>
          <w:szCs w:val="24"/>
        </w:rPr>
      </w:pPr>
      <w:r>
        <w:rPr>
          <w:strike/>
          <w:color w:val="202935"/>
          <w:sz w:val="24"/>
          <w:szCs w:val="24"/>
        </w:rPr>
        <w:t xml:space="preserve">2    </w:t>
      </w:r>
      <w:r>
        <w:rPr>
          <w:rFonts w:ascii="宋体" w:hAnsi="宋体" w:eastAsia="宋体" w:cs="宋体"/>
          <w:strike/>
          <w:color w:val="202935"/>
          <w:sz w:val="24"/>
          <w:szCs w:val="24"/>
        </w:rPr>
        <w:t>分支母线槽的金属外壳末端应与保</w:t>
      </w:r>
      <w:r>
        <w:rPr>
          <w:rFonts w:ascii="宋体" w:hAnsi="宋体" w:eastAsia="宋体" w:cs="宋体"/>
          <w:strike/>
          <w:color w:val="202935"/>
          <w:spacing w:val="-1"/>
          <w:sz w:val="24"/>
          <w:szCs w:val="24"/>
        </w:rPr>
        <w:t>护导体可靠连接；</w:t>
      </w:r>
    </w:p>
    <w:p w14:paraId="4BD281C7">
      <w:pPr>
        <w:pStyle w:val="2"/>
        <w:spacing w:before="111" w:line="328" w:lineRule="exact"/>
        <w:ind w:left="3"/>
        <w:rPr>
          <w:rFonts w:ascii="宋体" w:hAnsi="宋体" w:eastAsia="宋体" w:cs="宋体"/>
          <w:sz w:val="24"/>
          <w:szCs w:val="24"/>
        </w:rPr>
      </w:pPr>
      <w:r>
        <w:rPr>
          <w:strike/>
          <w:color w:val="202935"/>
          <w:spacing w:val="-1"/>
          <w:position w:val="1"/>
          <w:sz w:val="24"/>
          <w:szCs w:val="24"/>
        </w:rPr>
        <w:t xml:space="preserve">3    </w:t>
      </w:r>
      <w:r>
        <w:rPr>
          <w:rFonts w:ascii="宋体" w:hAnsi="宋体" w:eastAsia="宋体" w:cs="宋体"/>
          <w:strike/>
          <w:color w:val="202935"/>
          <w:spacing w:val="-1"/>
          <w:position w:val="1"/>
          <w:sz w:val="24"/>
          <w:szCs w:val="24"/>
        </w:rPr>
        <w:t>连接导体的材质、截面积应符合设计要求。</w:t>
      </w:r>
    </w:p>
    <w:p w14:paraId="581AE28B">
      <w:pPr>
        <w:spacing w:before="154"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检查数量：全数检查。</w:t>
      </w:r>
    </w:p>
    <w:p w14:paraId="7D9511A5">
      <w:pPr>
        <w:spacing w:before="154" w:line="219" w:lineRule="auto"/>
        <w:ind w:left="2"/>
        <w:rPr>
          <w:rFonts w:ascii="宋体" w:hAnsi="宋体" w:eastAsia="宋体" w:cs="宋体"/>
          <w:sz w:val="24"/>
          <w:szCs w:val="24"/>
        </w:rPr>
      </w:pPr>
      <w:r>
        <w:rPr>
          <w:rFonts w:ascii="宋体" w:hAnsi="宋体" w:eastAsia="宋体" w:cs="宋体"/>
          <w:strike/>
          <w:color w:val="202935"/>
          <w:spacing w:val="-1"/>
          <w:sz w:val="24"/>
          <w:szCs w:val="24"/>
        </w:rPr>
        <w:t>检查方法：观察检查并用尺量检查。</w:t>
      </w:r>
    </w:p>
    <w:p w14:paraId="2DA257C0">
      <w:pPr>
        <w:pStyle w:val="2"/>
        <w:spacing w:before="154" w:line="322" w:lineRule="auto"/>
        <w:ind w:left="3" w:right="200" w:firstLine="15"/>
        <w:rPr>
          <w:rFonts w:ascii="宋体" w:hAnsi="宋体" w:eastAsia="宋体" w:cs="宋体"/>
          <w:sz w:val="24"/>
          <w:szCs w:val="24"/>
        </w:rPr>
      </w:pPr>
      <w:r>
        <w:rPr>
          <w:strike/>
          <w:color w:val="202935"/>
          <w:spacing w:val="-1"/>
          <w:sz w:val="24"/>
          <w:szCs w:val="24"/>
        </w:rPr>
        <w:t xml:space="preserve">11.1.1    </w:t>
      </w:r>
      <w:r>
        <w:rPr>
          <w:rFonts w:ascii="宋体" w:hAnsi="宋体" w:eastAsia="宋体" w:cs="宋体"/>
          <w:strike/>
          <w:color w:val="202935"/>
          <w:spacing w:val="-1"/>
          <w:sz w:val="24"/>
          <w:szCs w:val="24"/>
        </w:rPr>
        <w:t>金属梯架、托盘或槽盒本体之间的连接应牢固可靠，与保护导体的连接应符</w:t>
      </w:r>
      <w:r>
        <w:rPr>
          <w:rFonts w:ascii="宋体" w:hAnsi="宋体" w:eastAsia="宋体" w:cs="宋体"/>
          <w:color w:val="202935"/>
          <w:spacing w:val="15"/>
          <w:sz w:val="24"/>
          <w:szCs w:val="24"/>
        </w:rPr>
        <w:t xml:space="preserve"> </w:t>
      </w:r>
      <w:r>
        <w:rPr>
          <w:rFonts w:ascii="宋体" w:hAnsi="宋体" w:eastAsia="宋体" w:cs="宋体"/>
          <w:strike/>
          <w:color w:val="202935"/>
          <w:spacing w:val="-2"/>
          <w:sz w:val="24"/>
          <w:szCs w:val="24"/>
        </w:rPr>
        <w:t>合下列规定：</w:t>
      </w:r>
    </w:p>
    <w:p w14:paraId="4041C49D">
      <w:pPr>
        <w:pStyle w:val="2"/>
        <w:spacing w:before="2" w:line="312" w:lineRule="auto"/>
        <w:ind w:left="5" w:right="133" w:firstLine="13"/>
        <w:rPr>
          <w:rFonts w:ascii="宋体" w:hAnsi="宋体" w:eastAsia="宋体" w:cs="宋体"/>
          <w:sz w:val="24"/>
          <w:szCs w:val="24"/>
        </w:rPr>
      </w:pPr>
      <w:r>
        <w:rPr>
          <w:strike/>
          <w:color w:val="202935"/>
          <w:spacing w:val="-1"/>
          <w:sz w:val="24"/>
          <w:szCs w:val="24"/>
        </w:rPr>
        <w:t xml:space="preserve">1    </w:t>
      </w:r>
      <w:r>
        <w:rPr>
          <w:rFonts w:ascii="宋体" w:hAnsi="宋体" w:eastAsia="宋体" w:cs="宋体"/>
          <w:strike/>
          <w:color w:val="202935"/>
          <w:spacing w:val="-1"/>
          <w:sz w:val="24"/>
          <w:szCs w:val="24"/>
        </w:rPr>
        <w:t>梯架、托盘和槽盒全长不大于</w:t>
      </w:r>
      <w:r>
        <w:rPr>
          <w:rFonts w:ascii="宋体" w:hAnsi="宋体" w:eastAsia="宋体" w:cs="宋体"/>
          <w:strike/>
          <w:color w:val="202935"/>
          <w:spacing w:val="-50"/>
          <w:sz w:val="24"/>
          <w:szCs w:val="24"/>
        </w:rPr>
        <w:t xml:space="preserve"> </w:t>
      </w:r>
      <w:r>
        <w:rPr>
          <w:strike/>
          <w:color w:val="202935"/>
          <w:spacing w:val="-1"/>
          <w:sz w:val="24"/>
          <w:szCs w:val="24"/>
        </w:rPr>
        <w:t xml:space="preserve">30m </w:t>
      </w:r>
      <w:r>
        <w:rPr>
          <w:rFonts w:ascii="宋体" w:hAnsi="宋体" w:eastAsia="宋体" w:cs="宋体"/>
          <w:strike/>
          <w:color w:val="202935"/>
          <w:spacing w:val="-1"/>
          <w:sz w:val="24"/>
          <w:szCs w:val="24"/>
        </w:rPr>
        <w:t>时，不应少于</w:t>
      </w:r>
      <w:r>
        <w:rPr>
          <w:rFonts w:ascii="宋体" w:hAnsi="宋体" w:eastAsia="宋体" w:cs="宋体"/>
          <w:strike/>
          <w:color w:val="202935"/>
          <w:spacing w:val="-53"/>
          <w:sz w:val="24"/>
          <w:szCs w:val="24"/>
        </w:rPr>
        <w:t xml:space="preserve"> </w:t>
      </w:r>
      <w:r>
        <w:rPr>
          <w:strike/>
          <w:color w:val="202935"/>
          <w:spacing w:val="-2"/>
          <w:sz w:val="24"/>
          <w:szCs w:val="24"/>
        </w:rPr>
        <w:t xml:space="preserve">2 </w:t>
      </w:r>
      <w:r>
        <w:rPr>
          <w:rFonts w:ascii="宋体" w:hAnsi="宋体" w:eastAsia="宋体" w:cs="宋体"/>
          <w:strike/>
          <w:color w:val="202935"/>
          <w:spacing w:val="-2"/>
          <w:sz w:val="24"/>
          <w:szCs w:val="24"/>
        </w:rPr>
        <w:t>处与保护导体可靠连接；全长</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大于</w:t>
      </w:r>
      <w:r>
        <w:rPr>
          <w:rFonts w:ascii="宋体" w:hAnsi="宋体" w:eastAsia="宋体" w:cs="宋体"/>
          <w:strike/>
          <w:color w:val="202935"/>
          <w:spacing w:val="-50"/>
          <w:sz w:val="24"/>
          <w:szCs w:val="24"/>
        </w:rPr>
        <w:t xml:space="preserve"> </w:t>
      </w:r>
      <w:r>
        <w:rPr>
          <w:strike/>
          <w:color w:val="202935"/>
          <w:spacing w:val="-1"/>
          <w:sz w:val="24"/>
          <w:szCs w:val="24"/>
        </w:rPr>
        <w:t xml:space="preserve">30m </w:t>
      </w:r>
      <w:r>
        <w:rPr>
          <w:rFonts w:ascii="宋体" w:hAnsi="宋体" w:eastAsia="宋体" w:cs="宋体"/>
          <w:strike/>
          <w:color w:val="202935"/>
          <w:spacing w:val="-1"/>
          <w:sz w:val="24"/>
          <w:szCs w:val="24"/>
        </w:rPr>
        <w:t>时，每隔</w:t>
      </w:r>
      <w:r>
        <w:rPr>
          <w:rFonts w:ascii="宋体" w:hAnsi="宋体" w:eastAsia="宋体" w:cs="宋体"/>
          <w:strike/>
          <w:color w:val="202935"/>
          <w:spacing w:val="-53"/>
          <w:sz w:val="24"/>
          <w:szCs w:val="24"/>
        </w:rPr>
        <w:t xml:space="preserve"> </w:t>
      </w:r>
      <w:r>
        <w:rPr>
          <w:strike/>
          <w:color w:val="202935"/>
          <w:spacing w:val="-1"/>
          <w:sz w:val="24"/>
          <w:szCs w:val="24"/>
        </w:rPr>
        <w:t>20m</w:t>
      </w:r>
      <w:r>
        <w:rPr>
          <w:rFonts w:ascii="宋体" w:hAnsi="宋体" w:eastAsia="宋体" w:cs="宋体"/>
          <w:strike/>
          <w:color w:val="202935"/>
          <w:spacing w:val="-1"/>
          <w:sz w:val="24"/>
          <w:szCs w:val="24"/>
        </w:rPr>
        <w:t>～</w:t>
      </w:r>
      <w:r>
        <w:rPr>
          <w:strike/>
          <w:color w:val="202935"/>
          <w:spacing w:val="-1"/>
          <w:sz w:val="24"/>
          <w:szCs w:val="24"/>
        </w:rPr>
        <w:t xml:space="preserve">30m </w:t>
      </w:r>
      <w:r>
        <w:rPr>
          <w:rFonts w:ascii="宋体" w:hAnsi="宋体" w:eastAsia="宋体" w:cs="宋体"/>
          <w:strike/>
          <w:color w:val="202935"/>
          <w:spacing w:val="-1"/>
          <w:sz w:val="24"/>
          <w:szCs w:val="24"/>
        </w:rPr>
        <w:t>应增加</w:t>
      </w:r>
      <w:r>
        <w:rPr>
          <w:rFonts w:ascii="宋体" w:hAnsi="宋体" w:eastAsia="宋体" w:cs="宋体"/>
          <w:color w:val="202935"/>
          <w:spacing w:val="-1"/>
          <w:sz w:val="24"/>
          <w:szCs w:val="24"/>
        </w:rPr>
        <w:t>一</w:t>
      </w:r>
      <w:r>
        <w:rPr>
          <w:rFonts w:ascii="宋体" w:hAnsi="宋体" w:eastAsia="宋体" w:cs="宋体"/>
          <w:strike/>
          <w:color w:val="202935"/>
          <w:spacing w:val="-1"/>
          <w:sz w:val="24"/>
          <w:szCs w:val="24"/>
        </w:rPr>
        <w:t>个连接点。起始端和终点端均应可靠</w:t>
      </w:r>
      <w:r>
        <w:rPr>
          <w:rFonts w:ascii="宋体" w:hAnsi="宋体" w:eastAsia="宋体" w:cs="宋体"/>
          <w:strike/>
          <w:color w:val="202935"/>
          <w:spacing w:val="-2"/>
          <w:sz w:val="24"/>
          <w:szCs w:val="24"/>
        </w:rPr>
        <w:t>接地。</w:t>
      </w:r>
    </w:p>
    <w:p w14:paraId="650EB102">
      <w:pPr>
        <w:pStyle w:val="2"/>
        <w:spacing w:before="110" w:line="279" w:lineRule="auto"/>
        <w:ind w:left="2" w:right="13" w:hanging="2"/>
        <w:rPr>
          <w:rFonts w:ascii="宋体" w:hAnsi="宋体" w:eastAsia="宋体" w:cs="宋体"/>
          <w:sz w:val="24"/>
          <w:szCs w:val="24"/>
        </w:rPr>
      </w:pPr>
      <w:r>
        <w:rPr>
          <w:strike/>
          <w:color w:val="202935"/>
          <w:sz w:val="24"/>
          <w:szCs w:val="24"/>
        </w:rPr>
        <w:t xml:space="preserve">2    </w:t>
      </w:r>
      <w:r>
        <w:rPr>
          <w:rFonts w:ascii="宋体" w:hAnsi="宋体" w:eastAsia="宋体" w:cs="宋体"/>
          <w:strike/>
          <w:color w:val="202935"/>
          <w:sz w:val="24"/>
          <w:szCs w:val="24"/>
        </w:rPr>
        <w:t>非镀锌梯架、托盘和槽盒本体之间连接板的两端应跨接保护联结</w:t>
      </w:r>
      <w:r>
        <w:rPr>
          <w:rFonts w:ascii="宋体" w:hAnsi="宋体" w:eastAsia="宋体" w:cs="宋体"/>
          <w:strike/>
          <w:color w:val="202935"/>
          <w:spacing w:val="-1"/>
          <w:sz w:val="24"/>
          <w:szCs w:val="24"/>
        </w:rPr>
        <w:t>导体，保护联结导</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体的截面积应符合设计要求。</w:t>
      </w:r>
    </w:p>
    <w:p w14:paraId="1DA4C099">
      <w:pPr>
        <w:pStyle w:val="2"/>
        <w:spacing w:before="112" w:line="295" w:lineRule="auto"/>
        <w:ind w:left="3"/>
        <w:rPr>
          <w:rFonts w:ascii="宋体" w:hAnsi="宋体" w:eastAsia="宋体" w:cs="宋体"/>
          <w:sz w:val="24"/>
          <w:szCs w:val="24"/>
        </w:rPr>
      </w:pPr>
      <w:r>
        <w:rPr>
          <w:strike/>
          <w:color w:val="202935"/>
          <w:spacing w:val="-1"/>
          <w:sz w:val="24"/>
          <w:szCs w:val="24"/>
        </w:rPr>
        <w:t xml:space="preserve">3    </w:t>
      </w:r>
      <w:r>
        <w:rPr>
          <w:rFonts w:ascii="宋体" w:hAnsi="宋体" w:eastAsia="宋体" w:cs="宋体"/>
          <w:strike/>
          <w:color w:val="202935"/>
          <w:spacing w:val="-1"/>
          <w:sz w:val="24"/>
          <w:szCs w:val="24"/>
        </w:rPr>
        <w:t>镀锌梯架、托盘和槽盒本体之间不跨接保护联结导体时，连接板每端不应少于</w:t>
      </w:r>
      <w:r>
        <w:rPr>
          <w:rFonts w:ascii="宋体" w:hAnsi="宋体" w:eastAsia="宋体" w:cs="宋体"/>
          <w:strike/>
          <w:color w:val="202935"/>
          <w:spacing w:val="-36"/>
          <w:sz w:val="24"/>
          <w:szCs w:val="24"/>
        </w:rPr>
        <w:t xml:space="preserve"> </w:t>
      </w:r>
      <w:r>
        <w:rPr>
          <w:strike/>
          <w:color w:val="202935"/>
          <w:spacing w:val="-1"/>
          <w:sz w:val="24"/>
          <w:szCs w:val="24"/>
        </w:rPr>
        <w:t xml:space="preserve">2 </w:t>
      </w:r>
      <w:r>
        <w:rPr>
          <w:rFonts w:ascii="宋体" w:hAnsi="宋体" w:eastAsia="宋体" w:cs="宋体"/>
          <w:strike/>
          <w:color w:val="202935"/>
          <w:spacing w:val="-1"/>
          <w:sz w:val="24"/>
          <w:szCs w:val="24"/>
        </w:rPr>
        <w:t>个</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有防松螺帽或防松垫圈的连接固定螺栓。</w:t>
      </w:r>
    </w:p>
    <w:p w14:paraId="092E208D">
      <w:pPr>
        <w:pStyle w:val="2"/>
        <w:spacing w:before="113" w:line="335" w:lineRule="auto"/>
        <w:ind w:left="1" w:right="134"/>
        <w:rPr>
          <w:rFonts w:ascii="宋体" w:hAnsi="宋体" w:eastAsia="宋体" w:cs="宋体"/>
          <w:sz w:val="24"/>
          <w:szCs w:val="24"/>
        </w:rPr>
      </w:pPr>
      <w:r>
        <w:rPr>
          <w:rFonts w:ascii="宋体" w:hAnsi="宋体" w:eastAsia="宋体" w:cs="宋体"/>
          <w:strike/>
          <w:color w:val="202935"/>
          <w:spacing w:val="-2"/>
          <w:sz w:val="24"/>
          <w:szCs w:val="24"/>
        </w:rPr>
        <w:t>检查数量：第</w:t>
      </w:r>
      <w:r>
        <w:rPr>
          <w:rFonts w:ascii="宋体" w:hAnsi="宋体" w:eastAsia="宋体" w:cs="宋体"/>
          <w:strike/>
          <w:color w:val="202935"/>
          <w:spacing w:val="-29"/>
          <w:sz w:val="24"/>
          <w:szCs w:val="24"/>
        </w:rPr>
        <w:t xml:space="preserve"> </w:t>
      </w:r>
      <w:r>
        <w:rPr>
          <w:strike/>
          <w:color w:val="202935"/>
          <w:spacing w:val="-2"/>
          <w:sz w:val="24"/>
          <w:szCs w:val="24"/>
        </w:rPr>
        <w:t xml:space="preserve">1 </w:t>
      </w:r>
      <w:r>
        <w:rPr>
          <w:rFonts w:ascii="宋体" w:hAnsi="宋体" w:eastAsia="宋体" w:cs="宋体"/>
          <w:strike/>
          <w:color w:val="202935"/>
          <w:spacing w:val="-2"/>
          <w:sz w:val="24"/>
          <w:szCs w:val="24"/>
        </w:rPr>
        <w:t>款全数检查，第</w:t>
      </w:r>
      <w:r>
        <w:rPr>
          <w:rFonts w:ascii="宋体" w:hAnsi="宋体" w:eastAsia="宋体" w:cs="宋体"/>
          <w:strike/>
          <w:color w:val="202935"/>
          <w:spacing w:val="-53"/>
          <w:sz w:val="24"/>
          <w:szCs w:val="24"/>
        </w:rPr>
        <w:t xml:space="preserve"> </w:t>
      </w:r>
      <w:r>
        <w:rPr>
          <w:strike/>
          <w:color w:val="202935"/>
          <w:spacing w:val="-2"/>
          <w:sz w:val="24"/>
          <w:szCs w:val="24"/>
        </w:rPr>
        <w:t xml:space="preserve">2 </w:t>
      </w:r>
      <w:r>
        <w:rPr>
          <w:rFonts w:ascii="宋体" w:hAnsi="宋体" w:eastAsia="宋体" w:cs="宋体"/>
          <w:strike/>
          <w:color w:val="202935"/>
          <w:spacing w:val="-2"/>
          <w:sz w:val="24"/>
          <w:szCs w:val="24"/>
        </w:rPr>
        <w:t>款和第</w:t>
      </w:r>
      <w:r>
        <w:rPr>
          <w:rFonts w:ascii="宋体" w:hAnsi="宋体" w:eastAsia="宋体" w:cs="宋体"/>
          <w:strike/>
          <w:color w:val="202935"/>
          <w:spacing w:val="-50"/>
          <w:sz w:val="24"/>
          <w:szCs w:val="24"/>
        </w:rPr>
        <w:t xml:space="preserve"> </w:t>
      </w:r>
      <w:r>
        <w:rPr>
          <w:strike/>
          <w:color w:val="202935"/>
          <w:spacing w:val="-2"/>
          <w:sz w:val="24"/>
          <w:szCs w:val="24"/>
        </w:rPr>
        <w:t xml:space="preserve">3 </w:t>
      </w:r>
      <w:r>
        <w:rPr>
          <w:rFonts w:ascii="宋体" w:hAnsi="宋体" w:eastAsia="宋体" w:cs="宋体"/>
          <w:strike/>
          <w:color w:val="202935"/>
          <w:spacing w:val="-2"/>
          <w:sz w:val="24"/>
          <w:szCs w:val="24"/>
        </w:rPr>
        <w:t>款按每个检验批的梯架或托盘或槽盒的连</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接点数量各抽查</w:t>
      </w:r>
      <w:r>
        <w:rPr>
          <w:rFonts w:ascii="宋体" w:hAnsi="宋体" w:eastAsia="宋体" w:cs="宋体"/>
          <w:strike/>
          <w:color w:val="202935"/>
          <w:spacing w:val="-33"/>
          <w:sz w:val="24"/>
          <w:szCs w:val="24"/>
        </w:rPr>
        <w:t xml:space="preserve"> </w:t>
      </w:r>
      <w:r>
        <w:rPr>
          <w:strike/>
          <w:color w:val="202935"/>
          <w:spacing w:val="-3"/>
          <w:sz w:val="24"/>
          <w:szCs w:val="24"/>
        </w:rPr>
        <w:t>10</w:t>
      </w:r>
      <w:r>
        <w:rPr>
          <w:rFonts w:ascii="宋体" w:hAnsi="宋体" w:eastAsia="宋体" w:cs="宋体"/>
          <w:strike/>
          <w:color w:val="202935"/>
          <w:spacing w:val="-1"/>
          <w:sz w:val="24"/>
          <w:szCs w:val="24"/>
        </w:rPr>
        <w:t>％，</w:t>
      </w:r>
      <w:r>
        <w:rPr>
          <w:rFonts w:ascii="宋体" w:hAnsi="宋体" w:eastAsia="宋体" w:cs="宋体"/>
          <w:strike/>
          <w:color w:val="202935"/>
          <w:spacing w:val="-3"/>
          <w:sz w:val="24"/>
          <w:szCs w:val="24"/>
        </w:rPr>
        <w:t>且各不得少于</w:t>
      </w:r>
      <w:r>
        <w:rPr>
          <w:rFonts w:ascii="宋体" w:hAnsi="宋体" w:eastAsia="宋体" w:cs="宋体"/>
          <w:strike/>
          <w:color w:val="202935"/>
          <w:spacing w:val="-39"/>
          <w:sz w:val="24"/>
          <w:szCs w:val="24"/>
        </w:rPr>
        <w:t xml:space="preserve"> </w:t>
      </w:r>
      <w:r>
        <w:rPr>
          <w:strike/>
          <w:color w:val="202935"/>
          <w:spacing w:val="-3"/>
          <w:sz w:val="24"/>
          <w:szCs w:val="24"/>
        </w:rPr>
        <w:t xml:space="preserve">2 </w:t>
      </w:r>
      <w:r>
        <w:rPr>
          <w:rFonts w:ascii="宋体" w:hAnsi="宋体" w:eastAsia="宋体" w:cs="宋体"/>
          <w:strike/>
          <w:color w:val="202935"/>
          <w:spacing w:val="-3"/>
          <w:sz w:val="24"/>
          <w:szCs w:val="24"/>
        </w:rPr>
        <w:t>个点。</w:t>
      </w:r>
    </w:p>
    <w:p w14:paraId="39F90E66">
      <w:pPr>
        <w:spacing w:before="51" w:line="219" w:lineRule="auto"/>
        <w:ind w:left="2"/>
        <w:rPr>
          <w:rFonts w:ascii="宋体" w:hAnsi="宋体" w:eastAsia="宋体" w:cs="宋体"/>
          <w:sz w:val="24"/>
          <w:szCs w:val="24"/>
        </w:rPr>
      </w:pPr>
      <w:r>
        <w:rPr>
          <w:rFonts w:ascii="宋体" w:hAnsi="宋体" w:eastAsia="宋体" w:cs="宋体"/>
          <w:strike/>
          <w:color w:val="202935"/>
          <w:spacing w:val="-1"/>
          <w:sz w:val="24"/>
          <w:szCs w:val="24"/>
        </w:rPr>
        <w:t>检查方法：观察检查并用尺量检查。</w:t>
      </w:r>
    </w:p>
    <w:p w14:paraId="376FB8F5">
      <w:pPr>
        <w:pStyle w:val="2"/>
        <w:spacing w:before="155" w:line="322" w:lineRule="auto"/>
        <w:ind w:left="8" w:right="267" w:firstLine="11"/>
        <w:rPr>
          <w:rFonts w:ascii="宋体" w:hAnsi="宋体" w:eastAsia="宋体" w:cs="宋体"/>
          <w:sz w:val="24"/>
          <w:szCs w:val="24"/>
        </w:rPr>
      </w:pPr>
      <w:r>
        <w:rPr>
          <w:strike/>
          <w:color w:val="202935"/>
          <w:spacing w:val="-1"/>
          <w:sz w:val="24"/>
          <w:szCs w:val="24"/>
        </w:rPr>
        <w:t xml:space="preserve">12.1.2    </w:t>
      </w:r>
      <w:r>
        <w:rPr>
          <w:rFonts w:ascii="宋体" w:hAnsi="宋体" w:eastAsia="宋体" w:cs="宋体"/>
          <w:strike/>
          <w:color w:val="202935"/>
          <w:spacing w:val="-1"/>
          <w:sz w:val="24"/>
          <w:szCs w:val="24"/>
        </w:rPr>
        <w:t>钢导管不得采用对口熔焊</w:t>
      </w:r>
      <w:r>
        <w:rPr>
          <w:rFonts w:ascii="宋体" w:hAnsi="宋体" w:eastAsia="宋体" w:cs="宋体"/>
          <w:strike/>
          <w:color w:val="202935"/>
          <w:spacing w:val="-2"/>
          <w:sz w:val="24"/>
          <w:szCs w:val="24"/>
        </w:rPr>
        <w:t>连接；镀锌钢导管或壁厚小于或等于</w:t>
      </w:r>
      <w:r>
        <w:rPr>
          <w:rFonts w:ascii="宋体" w:hAnsi="宋体" w:eastAsia="宋体" w:cs="宋体"/>
          <w:strike/>
          <w:color w:val="202935"/>
          <w:spacing w:val="-53"/>
          <w:sz w:val="24"/>
          <w:szCs w:val="24"/>
        </w:rPr>
        <w:t xml:space="preserve"> </w:t>
      </w:r>
      <w:r>
        <w:rPr>
          <w:strike/>
          <w:color w:val="202935"/>
          <w:spacing w:val="-2"/>
          <w:sz w:val="24"/>
          <w:szCs w:val="24"/>
        </w:rPr>
        <w:t>2mm</w:t>
      </w:r>
      <w:r>
        <w:rPr>
          <w:strike/>
          <w:color w:val="202935"/>
          <w:spacing w:val="23"/>
          <w:sz w:val="24"/>
          <w:szCs w:val="24"/>
        </w:rPr>
        <w:t xml:space="preserve"> </w:t>
      </w:r>
      <w:r>
        <w:rPr>
          <w:rFonts w:ascii="宋体" w:hAnsi="宋体" w:eastAsia="宋体" w:cs="宋体"/>
          <w:strike/>
          <w:color w:val="202935"/>
          <w:spacing w:val="-2"/>
          <w:sz w:val="24"/>
          <w:szCs w:val="24"/>
        </w:rPr>
        <w:t>的钢导</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管，不得采用套管熔焊连接。</w:t>
      </w:r>
    </w:p>
    <w:p w14:paraId="11F269DF">
      <w:pPr>
        <w:pStyle w:val="2"/>
        <w:spacing w:before="1" w:line="334" w:lineRule="auto"/>
        <w:ind w:left="6" w:right="336" w:hanging="4"/>
        <w:rPr>
          <w:rFonts w:ascii="宋体" w:hAnsi="宋体" w:eastAsia="宋体" w:cs="宋体"/>
          <w:sz w:val="24"/>
          <w:szCs w:val="24"/>
        </w:rPr>
      </w:pPr>
      <w:r>
        <w:rPr>
          <w:rFonts w:ascii="宋体" w:hAnsi="宋体" w:eastAsia="宋体" w:cs="宋体"/>
          <w:strike/>
          <w:color w:val="202935"/>
          <w:spacing w:val="-1"/>
          <w:sz w:val="24"/>
          <w:szCs w:val="24"/>
        </w:rPr>
        <w:t>检查数量：按每个检验批的钢导管连接头总数抽查</w:t>
      </w:r>
      <w:r>
        <w:rPr>
          <w:rFonts w:ascii="宋体" w:hAnsi="宋体" w:eastAsia="宋体" w:cs="宋体"/>
          <w:strike/>
          <w:color w:val="202935"/>
          <w:spacing w:val="-52"/>
          <w:sz w:val="24"/>
          <w:szCs w:val="24"/>
        </w:rPr>
        <w:t xml:space="preserve"> </w:t>
      </w:r>
      <w:r>
        <w:rPr>
          <w:strike/>
          <w:color w:val="202935"/>
          <w:spacing w:val="-1"/>
          <w:sz w:val="24"/>
          <w:szCs w:val="24"/>
        </w:rPr>
        <w:t>20</w:t>
      </w:r>
      <w:r>
        <w:rPr>
          <w:rFonts w:ascii="宋体" w:hAnsi="宋体" w:eastAsia="宋体" w:cs="宋体"/>
          <w:strike/>
          <w:color w:val="202935"/>
          <w:spacing w:val="3"/>
          <w:sz w:val="24"/>
          <w:szCs w:val="24"/>
        </w:rPr>
        <w:t>％，</w:t>
      </w:r>
      <w:r>
        <w:rPr>
          <w:rFonts w:ascii="宋体" w:hAnsi="宋体" w:eastAsia="宋体" w:cs="宋体"/>
          <w:strike/>
          <w:color w:val="202935"/>
          <w:spacing w:val="-1"/>
          <w:sz w:val="24"/>
          <w:szCs w:val="24"/>
        </w:rPr>
        <w:t>并应能覆盖不同的连接方</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式，且各不得少于</w:t>
      </w:r>
      <w:r>
        <w:rPr>
          <w:rFonts w:ascii="宋体" w:hAnsi="宋体" w:eastAsia="宋体" w:cs="宋体"/>
          <w:strike/>
          <w:color w:val="202935"/>
          <w:spacing w:val="-28"/>
          <w:sz w:val="24"/>
          <w:szCs w:val="24"/>
        </w:rPr>
        <w:t xml:space="preserve"> </w:t>
      </w:r>
      <w:r>
        <w:rPr>
          <w:strike/>
          <w:color w:val="202935"/>
          <w:spacing w:val="-4"/>
          <w:sz w:val="24"/>
          <w:szCs w:val="24"/>
        </w:rPr>
        <w:t xml:space="preserve">1 </w:t>
      </w:r>
      <w:r>
        <w:rPr>
          <w:rFonts w:ascii="宋体" w:hAnsi="宋体" w:eastAsia="宋体" w:cs="宋体"/>
          <w:strike/>
          <w:color w:val="202935"/>
          <w:spacing w:val="-4"/>
          <w:sz w:val="24"/>
          <w:szCs w:val="24"/>
        </w:rPr>
        <w:t>处。</w:t>
      </w:r>
    </w:p>
    <w:p w14:paraId="7CB3889C">
      <w:pPr>
        <w:spacing w:before="54"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检查方法：施工时观察检查。</w:t>
      </w:r>
    </w:p>
    <w:p w14:paraId="05EAE411">
      <w:pPr>
        <w:pStyle w:val="2"/>
        <w:spacing w:before="111" w:line="327" w:lineRule="exact"/>
        <w:ind w:left="19"/>
        <w:rPr>
          <w:rFonts w:ascii="宋体" w:hAnsi="宋体" w:eastAsia="宋体" w:cs="宋体"/>
          <w:sz w:val="24"/>
          <w:szCs w:val="24"/>
        </w:rPr>
      </w:pPr>
      <w:r>
        <w:rPr>
          <w:strike/>
          <w:color w:val="202935"/>
          <w:spacing w:val="-1"/>
          <w:position w:val="1"/>
          <w:sz w:val="24"/>
          <w:szCs w:val="24"/>
        </w:rPr>
        <w:t xml:space="preserve">13.1.1    </w:t>
      </w:r>
      <w:r>
        <w:rPr>
          <w:rFonts w:ascii="宋体" w:hAnsi="宋体" w:eastAsia="宋体" w:cs="宋体"/>
          <w:strike/>
          <w:color w:val="202935"/>
          <w:spacing w:val="-1"/>
          <w:position w:val="1"/>
          <w:sz w:val="24"/>
          <w:szCs w:val="24"/>
        </w:rPr>
        <w:t>金属电缆支架必须与保护导体可靠连接。</w:t>
      </w:r>
    </w:p>
    <w:p w14:paraId="7C72F1D4">
      <w:pPr>
        <w:pStyle w:val="2"/>
        <w:spacing w:before="113" w:line="328" w:lineRule="exact"/>
        <w:ind w:left="2"/>
        <w:rPr>
          <w:rFonts w:ascii="宋体" w:hAnsi="宋体" w:eastAsia="宋体" w:cs="宋体"/>
          <w:sz w:val="24"/>
          <w:szCs w:val="24"/>
        </w:rPr>
      </w:pPr>
      <w:r>
        <w:rPr>
          <w:rFonts w:ascii="宋体" w:hAnsi="宋体" w:eastAsia="宋体" w:cs="宋体"/>
          <w:strike/>
          <w:color w:val="202935"/>
          <w:spacing w:val="-1"/>
          <w:position w:val="1"/>
          <w:sz w:val="24"/>
          <w:szCs w:val="24"/>
        </w:rPr>
        <w:t>检查数量：明敷的全数检查，暗敷的按每个检验批抽查</w:t>
      </w:r>
      <w:r>
        <w:rPr>
          <w:rFonts w:ascii="宋体" w:hAnsi="宋体" w:eastAsia="宋体" w:cs="宋体"/>
          <w:strike/>
          <w:color w:val="202935"/>
          <w:spacing w:val="-53"/>
          <w:position w:val="1"/>
          <w:sz w:val="24"/>
          <w:szCs w:val="24"/>
        </w:rPr>
        <w:t xml:space="preserve"> </w:t>
      </w:r>
      <w:r>
        <w:rPr>
          <w:strike/>
          <w:color w:val="202935"/>
          <w:spacing w:val="-1"/>
          <w:position w:val="1"/>
          <w:sz w:val="24"/>
          <w:szCs w:val="24"/>
        </w:rPr>
        <w:t>20</w:t>
      </w:r>
      <w:r>
        <w:rPr>
          <w:rFonts w:ascii="宋体" w:hAnsi="宋体" w:eastAsia="宋体" w:cs="宋体"/>
          <w:strike/>
          <w:color w:val="202935"/>
          <w:spacing w:val="-2"/>
          <w:position w:val="1"/>
          <w:sz w:val="24"/>
          <w:szCs w:val="24"/>
        </w:rPr>
        <w:t>％，</w:t>
      </w:r>
      <w:r>
        <w:rPr>
          <w:rFonts w:ascii="宋体" w:hAnsi="宋体" w:eastAsia="宋体" w:cs="宋体"/>
          <w:strike/>
          <w:color w:val="202935"/>
          <w:spacing w:val="-1"/>
          <w:position w:val="1"/>
          <w:sz w:val="24"/>
          <w:szCs w:val="24"/>
        </w:rPr>
        <w:t>且不得少于</w:t>
      </w:r>
      <w:r>
        <w:rPr>
          <w:rFonts w:ascii="宋体" w:hAnsi="宋体" w:eastAsia="宋体" w:cs="宋体"/>
          <w:strike/>
          <w:color w:val="202935"/>
          <w:spacing w:val="-39"/>
          <w:position w:val="1"/>
          <w:sz w:val="24"/>
          <w:szCs w:val="24"/>
        </w:rPr>
        <w:t xml:space="preserve"> </w:t>
      </w:r>
      <w:r>
        <w:rPr>
          <w:strike/>
          <w:color w:val="202935"/>
          <w:spacing w:val="-1"/>
          <w:position w:val="1"/>
          <w:sz w:val="24"/>
          <w:szCs w:val="24"/>
        </w:rPr>
        <w:t xml:space="preserve">2 </w:t>
      </w:r>
      <w:r>
        <w:rPr>
          <w:rFonts w:ascii="宋体" w:hAnsi="宋体" w:eastAsia="宋体" w:cs="宋体"/>
          <w:strike/>
          <w:color w:val="202935"/>
          <w:spacing w:val="-1"/>
          <w:position w:val="1"/>
          <w:sz w:val="24"/>
          <w:szCs w:val="24"/>
        </w:rPr>
        <w:t>处。</w:t>
      </w:r>
    </w:p>
    <w:p w14:paraId="3B09CB1D">
      <w:pPr>
        <w:spacing w:before="155"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检查方法：观察检查并查阅隐蔽工程检查记录。</w:t>
      </w:r>
    </w:p>
    <w:p w14:paraId="6C9F37B9">
      <w:pPr>
        <w:pStyle w:val="2"/>
        <w:spacing w:before="111" w:line="334" w:lineRule="auto"/>
        <w:ind w:left="3" w:right="200" w:firstLine="15"/>
        <w:rPr>
          <w:rFonts w:ascii="宋体" w:hAnsi="宋体" w:eastAsia="宋体" w:cs="宋体"/>
          <w:sz w:val="24"/>
          <w:szCs w:val="24"/>
        </w:rPr>
      </w:pPr>
      <w:r>
        <w:rPr>
          <w:strike/>
          <w:color w:val="202935"/>
          <w:spacing w:val="-1"/>
          <w:sz w:val="24"/>
          <w:szCs w:val="24"/>
        </w:rPr>
        <w:t xml:space="preserve">13.1.5    </w:t>
      </w:r>
      <w:r>
        <w:rPr>
          <w:rFonts w:ascii="宋体" w:hAnsi="宋体" w:eastAsia="宋体" w:cs="宋体"/>
          <w:strike/>
          <w:color w:val="202935"/>
          <w:spacing w:val="-1"/>
          <w:sz w:val="24"/>
          <w:szCs w:val="24"/>
        </w:rPr>
        <w:t>交流单芯电缆或分相后的每相电缆不得单根独穿于钢导管内，固定用的夹具</w:t>
      </w:r>
      <w:r>
        <w:rPr>
          <w:rFonts w:ascii="宋体" w:hAnsi="宋体" w:eastAsia="宋体" w:cs="宋体"/>
          <w:color w:val="202935"/>
          <w:spacing w:val="15"/>
          <w:sz w:val="24"/>
          <w:szCs w:val="24"/>
        </w:rPr>
        <w:t xml:space="preserve"> </w:t>
      </w:r>
      <w:r>
        <w:rPr>
          <w:rFonts w:ascii="宋体" w:hAnsi="宋体" w:eastAsia="宋体" w:cs="宋体"/>
          <w:strike/>
          <w:color w:val="202935"/>
          <w:spacing w:val="-1"/>
          <w:sz w:val="24"/>
          <w:szCs w:val="24"/>
        </w:rPr>
        <w:t>和支架不应形成闭合磁路。</w:t>
      </w:r>
    </w:p>
    <w:p w14:paraId="3D91684C">
      <w:pPr>
        <w:spacing w:before="55"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检查数量：全数检查。</w:t>
      </w:r>
    </w:p>
    <w:p w14:paraId="63445581">
      <w:pPr>
        <w:spacing w:before="153"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检查方法：核对设计图观察检查。</w:t>
      </w:r>
    </w:p>
    <w:p w14:paraId="13FDC5A6">
      <w:pPr>
        <w:pStyle w:val="2"/>
        <w:spacing w:before="154" w:line="322" w:lineRule="auto"/>
        <w:ind w:left="31" w:right="200" w:hanging="12"/>
        <w:rPr>
          <w:rFonts w:ascii="宋体" w:hAnsi="宋体" w:eastAsia="宋体" w:cs="宋体"/>
          <w:sz w:val="24"/>
          <w:szCs w:val="24"/>
        </w:rPr>
      </w:pPr>
      <w:r>
        <w:rPr>
          <w:strike/>
          <w:color w:val="202935"/>
          <w:spacing w:val="-1"/>
          <w:sz w:val="24"/>
          <w:szCs w:val="24"/>
        </w:rPr>
        <w:t xml:space="preserve">14.1.1    </w:t>
      </w:r>
      <w:r>
        <w:rPr>
          <w:rFonts w:ascii="宋体" w:hAnsi="宋体" w:eastAsia="宋体" w:cs="宋体"/>
          <w:strike/>
          <w:color w:val="202935"/>
          <w:spacing w:val="-1"/>
          <w:sz w:val="24"/>
          <w:szCs w:val="24"/>
        </w:rPr>
        <w:t>同</w:t>
      </w:r>
      <w:r>
        <w:rPr>
          <w:rFonts w:ascii="宋体" w:hAnsi="宋体" w:eastAsia="宋体" w:cs="宋体"/>
          <w:color w:val="202935"/>
          <w:spacing w:val="-1"/>
          <w:sz w:val="24"/>
          <w:szCs w:val="24"/>
        </w:rPr>
        <w:t>一</w:t>
      </w:r>
      <w:r>
        <w:rPr>
          <w:rFonts w:ascii="宋体" w:hAnsi="宋体" w:eastAsia="宋体" w:cs="宋体"/>
          <w:strike/>
          <w:color w:val="202935"/>
          <w:spacing w:val="-1"/>
          <w:sz w:val="24"/>
          <w:szCs w:val="24"/>
        </w:rPr>
        <w:t>交流回路的绝缘导线不应敷设于不同的金属槽盒内或穿于不同金属导管</w:t>
      </w:r>
      <w:r>
        <w:rPr>
          <w:rFonts w:ascii="宋体" w:hAnsi="宋体" w:eastAsia="宋体" w:cs="宋体"/>
          <w:color w:val="202935"/>
          <w:spacing w:val="15"/>
          <w:sz w:val="24"/>
          <w:szCs w:val="24"/>
        </w:rPr>
        <w:t xml:space="preserve"> </w:t>
      </w:r>
      <w:r>
        <w:rPr>
          <w:rFonts w:ascii="宋体" w:hAnsi="宋体" w:eastAsia="宋体" w:cs="宋体"/>
          <w:strike/>
          <w:color w:val="202935"/>
          <w:spacing w:val="-10"/>
          <w:sz w:val="24"/>
          <w:szCs w:val="24"/>
        </w:rPr>
        <w:t>内。</w:t>
      </w:r>
    </w:p>
    <w:p w14:paraId="2A548665">
      <w:pPr>
        <w:pStyle w:val="2"/>
        <w:spacing w:line="328" w:lineRule="exact"/>
        <w:ind w:left="2"/>
        <w:rPr>
          <w:rFonts w:ascii="宋体" w:hAnsi="宋体" w:eastAsia="宋体" w:cs="宋体"/>
          <w:sz w:val="24"/>
          <w:szCs w:val="24"/>
        </w:rPr>
      </w:pPr>
      <w:r>
        <w:rPr>
          <w:rFonts w:ascii="宋体" w:hAnsi="宋体" w:eastAsia="宋体" w:cs="宋体"/>
          <w:strike/>
          <w:color w:val="202935"/>
          <w:spacing w:val="-2"/>
          <w:position w:val="1"/>
          <w:sz w:val="24"/>
          <w:szCs w:val="24"/>
        </w:rPr>
        <w:t>检查数量：按每个检验批的配线总回路数抽查</w:t>
      </w:r>
      <w:r>
        <w:rPr>
          <w:rFonts w:ascii="宋体" w:hAnsi="宋体" w:eastAsia="宋体" w:cs="宋体"/>
          <w:strike/>
          <w:color w:val="202935"/>
          <w:spacing w:val="-53"/>
          <w:position w:val="1"/>
          <w:sz w:val="24"/>
          <w:szCs w:val="24"/>
        </w:rPr>
        <w:t xml:space="preserve"> </w:t>
      </w:r>
      <w:r>
        <w:rPr>
          <w:strike/>
          <w:color w:val="202935"/>
          <w:spacing w:val="-2"/>
          <w:position w:val="1"/>
          <w:sz w:val="24"/>
          <w:szCs w:val="24"/>
        </w:rPr>
        <w:t>20</w:t>
      </w:r>
      <w:r>
        <w:rPr>
          <w:rFonts w:ascii="宋体" w:hAnsi="宋体" w:eastAsia="宋体" w:cs="宋体"/>
          <w:strike/>
          <w:color w:val="202935"/>
          <w:spacing w:val="-2"/>
          <w:position w:val="1"/>
          <w:sz w:val="24"/>
          <w:szCs w:val="24"/>
        </w:rPr>
        <w:t>％，且</w:t>
      </w:r>
      <w:r>
        <w:rPr>
          <w:rFonts w:ascii="宋体" w:hAnsi="宋体" w:eastAsia="宋体" w:cs="宋体"/>
          <w:strike/>
          <w:color w:val="202935"/>
          <w:spacing w:val="-3"/>
          <w:position w:val="1"/>
          <w:sz w:val="24"/>
          <w:szCs w:val="24"/>
        </w:rPr>
        <w:t xml:space="preserve">不得少于 </w:t>
      </w:r>
      <w:r>
        <w:rPr>
          <w:strike/>
          <w:color w:val="202935"/>
          <w:spacing w:val="-3"/>
          <w:position w:val="1"/>
          <w:sz w:val="24"/>
          <w:szCs w:val="24"/>
        </w:rPr>
        <w:t xml:space="preserve">1 </w:t>
      </w:r>
      <w:r>
        <w:rPr>
          <w:rFonts w:ascii="宋体" w:hAnsi="宋体" w:eastAsia="宋体" w:cs="宋体"/>
          <w:strike/>
          <w:color w:val="202935"/>
          <w:spacing w:val="-3"/>
          <w:position w:val="1"/>
          <w:sz w:val="24"/>
          <w:szCs w:val="24"/>
        </w:rPr>
        <w:t>个回路。</w:t>
      </w:r>
    </w:p>
    <w:p w14:paraId="2416A3C7">
      <w:pPr>
        <w:spacing w:before="155"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检查方法：观察检查。</w:t>
      </w:r>
    </w:p>
    <w:p w14:paraId="4E773A78">
      <w:pPr>
        <w:spacing w:line="220" w:lineRule="auto"/>
        <w:rPr>
          <w:rFonts w:ascii="宋体" w:hAnsi="宋体" w:eastAsia="宋体" w:cs="宋体"/>
          <w:sz w:val="24"/>
          <w:szCs w:val="24"/>
        </w:rPr>
        <w:sectPr>
          <w:footerReference r:id="rId50" w:type="default"/>
          <w:pgSz w:w="11907" w:h="16839"/>
          <w:pgMar w:top="400" w:right="1435" w:bottom="743" w:left="1424" w:header="0" w:footer="582" w:gutter="0"/>
          <w:cols w:space="720" w:num="1"/>
        </w:sectPr>
      </w:pPr>
    </w:p>
    <w:p w14:paraId="223ADA99">
      <w:pPr>
        <w:pStyle w:val="2"/>
        <w:spacing w:line="289" w:lineRule="auto"/>
      </w:pPr>
    </w:p>
    <w:p w14:paraId="12B0ABE5">
      <w:pPr>
        <w:pStyle w:val="2"/>
        <w:spacing w:line="289" w:lineRule="auto"/>
      </w:pPr>
    </w:p>
    <w:p w14:paraId="0DF174FA">
      <w:pPr>
        <w:pStyle w:val="2"/>
        <w:spacing w:line="289" w:lineRule="auto"/>
      </w:pPr>
    </w:p>
    <w:p w14:paraId="6F82B768">
      <w:pPr>
        <w:pStyle w:val="2"/>
        <w:spacing w:before="78" w:line="334" w:lineRule="auto"/>
        <w:ind w:left="2" w:right="187" w:firstLine="16"/>
        <w:rPr>
          <w:rFonts w:ascii="宋体" w:hAnsi="宋体" w:eastAsia="宋体" w:cs="宋体"/>
          <w:sz w:val="24"/>
          <w:szCs w:val="24"/>
        </w:rPr>
      </w:pPr>
      <w:r>
        <w:rPr>
          <w:strike/>
          <w:color w:val="202935"/>
          <w:spacing w:val="-1"/>
          <w:sz w:val="24"/>
          <w:szCs w:val="24"/>
        </w:rPr>
        <w:t xml:space="preserve">15.1.1    </w:t>
      </w:r>
      <w:r>
        <w:rPr>
          <w:rFonts w:ascii="宋体" w:hAnsi="宋体" w:eastAsia="宋体" w:cs="宋体"/>
          <w:strike/>
          <w:color w:val="202935"/>
          <w:spacing w:val="-1"/>
          <w:sz w:val="24"/>
          <w:szCs w:val="24"/>
        </w:rPr>
        <w:t>塑料护套线严禁直接敷设在建筑物顶棚内、墙体内、抹灰层内、保温层内或</w:t>
      </w:r>
      <w:r>
        <w:rPr>
          <w:rFonts w:ascii="宋体" w:hAnsi="宋体" w:eastAsia="宋体" w:cs="宋体"/>
          <w:color w:val="202935"/>
          <w:spacing w:val="15"/>
          <w:sz w:val="24"/>
          <w:szCs w:val="24"/>
        </w:rPr>
        <w:t xml:space="preserve"> </w:t>
      </w:r>
      <w:r>
        <w:rPr>
          <w:rFonts w:ascii="宋体" w:hAnsi="宋体" w:eastAsia="宋体" w:cs="宋体"/>
          <w:strike/>
          <w:color w:val="202935"/>
          <w:spacing w:val="-2"/>
          <w:sz w:val="24"/>
          <w:szCs w:val="24"/>
        </w:rPr>
        <w:t>装饰面内。</w:t>
      </w:r>
    </w:p>
    <w:p w14:paraId="31FF9FCD">
      <w:pPr>
        <w:spacing w:before="53"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检查数量：全数检查。</w:t>
      </w:r>
    </w:p>
    <w:p w14:paraId="7B952E29">
      <w:pPr>
        <w:spacing w:before="154"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检查方法：施工中观察检查。</w:t>
      </w:r>
    </w:p>
    <w:p w14:paraId="74FBAF8B">
      <w:pPr>
        <w:pStyle w:val="2"/>
        <w:spacing w:before="111" w:line="328" w:lineRule="exact"/>
        <w:ind w:left="19"/>
        <w:rPr>
          <w:rFonts w:ascii="宋体" w:hAnsi="宋体" w:eastAsia="宋体" w:cs="宋体"/>
          <w:sz w:val="24"/>
          <w:szCs w:val="24"/>
        </w:rPr>
      </w:pPr>
      <w:r>
        <w:rPr>
          <w:strike/>
          <w:color w:val="202935"/>
          <w:spacing w:val="-2"/>
          <w:position w:val="1"/>
          <w:sz w:val="24"/>
          <w:szCs w:val="24"/>
        </w:rPr>
        <w:t xml:space="preserve">18.1.1    </w:t>
      </w:r>
      <w:r>
        <w:rPr>
          <w:rFonts w:ascii="宋体" w:hAnsi="宋体" w:eastAsia="宋体" w:cs="宋体"/>
          <w:strike/>
          <w:color w:val="202935"/>
          <w:spacing w:val="-2"/>
          <w:position w:val="1"/>
          <w:sz w:val="24"/>
          <w:szCs w:val="24"/>
        </w:rPr>
        <w:t>灯具固定应符合下列规定：</w:t>
      </w:r>
    </w:p>
    <w:p w14:paraId="769EF5DE">
      <w:pPr>
        <w:pStyle w:val="2"/>
        <w:spacing w:before="153" w:line="280" w:lineRule="auto"/>
        <w:ind w:left="8" w:right="240" w:firstLine="11"/>
        <w:rPr>
          <w:rFonts w:ascii="宋体" w:hAnsi="宋体" w:eastAsia="宋体" w:cs="宋体"/>
          <w:sz w:val="24"/>
          <w:szCs w:val="24"/>
        </w:rPr>
      </w:pPr>
      <w:r>
        <w:rPr>
          <w:strike/>
          <w:color w:val="202935"/>
          <w:spacing w:val="-1"/>
          <w:sz w:val="24"/>
          <w:szCs w:val="24"/>
        </w:rPr>
        <w:t xml:space="preserve">1    </w:t>
      </w:r>
      <w:r>
        <w:rPr>
          <w:rFonts w:ascii="宋体" w:hAnsi="宋体" w:eastAsia="宋体" w:cs="宋体"/>
          <w:strike/>
          <w:color w:val="202935"/>
          <w:spacing w:val="-1"/>
          <w:sz w:val="24"/>
          <w:szCs w:val="24"/>
        </w:rPr>
        <w:t>灯具固定应牢固可靠，在砌体和混凝土结构上严禁使用木楔、尼龙塞或塑料塞固</w:t>
      </w:r>
      <w:r>
        <w:rPr>
          <w:rFonts w:ascii="宋体" w:hAnsi="宋体" w:eastAsia="宋体" w:cs="宋体"/>
          <w:color w:val="202935"/>
          <w:spacing w:val="13"/>
          <w:sz w:val="24"/>
          <w:szCs w:val="24"/>
        </w:rPr>
        <w:t xml:space="preserve"> </w:t>
      </w:r>
      <w:r>
        <w:rPr>
          <w:rFonts w:ascii="宋体" w:hAnsi="宋体" w:eastAsia="宋体" w:cs="宋体"/>
          <w:strike/>
          <w:color w:val="202935"/>
          <w:spacing w:val="-4"/>
          <w:sz w:val="24"/>
          <w:szCs w:val="24"/>
        </w:rPr>
        <w:t>定；</w:t>
      </w:r>
    </w:p>
    <w:p w14:paraId="6AE787F1">
      <w:pPr>
        <w:pStyle w:val="2"/>
        <w:spacing w:before="111" w:line="312" w:lineRule="auto"/>
        <w:ind w:left="8" w:right="66" w:hanging="8"/>
        <w:rPr>
          <w:rFonts w:ascii="宋体" w:hAnsi="宋体" w:eastAsia="宋体" w:cs="宋体"/>
          <w:sz w:val="24"/>
          <w:szCs w:val="24"/>
        </w:rPr>
      </w:pPr>
      <w:r>
        <w:rPr>
          <w:strike/>
          <w:color w:val="202935"/>
          <w:spacing w:val="-2"/>
          <w:sz w:val="24"/>
          <w:szCs w:val="24"/>
        </w:rPr>
        <w:t xml:space="preserve">2    </w:t>
      </w:r>
      <w:r>
        <w:rPr>
          <w:rFonts w:ascii="宋体" w:hAnsi="宋体" w:eastAsia="宋体" w:cs="宋体"/>
          <w:strike/>
          <w:color w:val="202935"/>
          <w:spacing w:val="-2"/>
          <w:sz w:val="24"/>
          <w:szCs w:val="24"/>
        </w:rPr>
        <w:t>质量大于</w:t>
      </w:r>
      <w:r>
        <w:rPr>
          <w:rFonts w:ascii="宋体" w:hAnsi="宋体" w:eastAsia="宋体" w:cs="宋体"/>
          <w:strike/>
          <w:color w:val="202935"/>
          <w:spacing w:val="-27"/>
          <w:sz w:val="24"/>
          <w:szCs w:val="24"/>
        </w:rPr>
        <w:t xml:space="preserve"> </w:t>
      </w:r>
      <w:r>
        <w:rPr>
          <w:strike/>
          <w:color w:val="202935"/>
          <w:spacing w:val="-2"/>
          <w:sz w:val="24"/>
          <w:szCs w:val="24"/>
        </w:rPr>
        <w:t>10kg</w:t>
      </w:r>
      <w:r>
        <w:rPr>
          <w:strike/>
          <w:color w:val="202935"/>
          <w:spacing w:val="22"/>
          <w:sz w:val="24"/>
          <w:szCs w:val="24"/>
        </w:rPr>
        <w:t xml:space="preserve"> </w:t>
      </w:r>
      <w:r>
        <w:rPr>
          <w:rFonts w:ascii="宋体" w:hAnsi="宋体" w:eastAsia="宋体" w:cs="宋体"/>
          <w:strike/>
          <w:color w:val="202935"/>
          <w:spacing w:val="-2"/>
          <w:sz w:val="24"/>
          <w:szCs w:val="24"/>
        </w:rPr>
        <w:t>的灯具，固定装置及悬吊装置应按灯具重量的</w:t>
      </w:r>
      <w:r>
        <w:rPr>
          <w:rFonts w:ascii="宋体" w:hAnsi="宋体" w:eastAsia="宋体" w:cs="宋体"/>
          <w:strike/>
          <w:color w:val="202935"/>
          <w:spacing w:val="-50"/>
          <w:sz w:val="24"/>
          <w:szCs w:val="24"/>
        </w:rPr>
        <w:t xml:space="preserve"> </w:t>
      </w:r>
      <w:r>
        <w:rPr>
          <w:strike/>
          <w:color w:val="202935"/>
          <w:spacing w:val="-2"/>
          <w:sz w:val="24"/>
          <w:szCs w:val="24"/>
        </w:rPr>
        <w:t xml:space="preserve">5 </w:t>
      </w:r>
      <w:r>
        <w:rPr>
          <w:rFonts w:ascii="宋体" w:hAnsi="宋体" w:eastAsia="宋体" w:cs="宋体"/>
          <w:strike/>
          <w:color w:val="202935"/>
          <w:spacing w:val="-2"/>
          <w:sz w:val="24"/>
          <w:szCs w:val="24"/>
        </w:rPr>
        <w:t>倍恒定均布载荷做</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强度试验，且持续时间不得少于</w:t>
      </w:r>
      <w:r>
        <w:rPr>
          <w:rFonts w:ascii="宋体" w:hAnsi="宋体" w:eastAsia="宋体" w:cs="宋体"/>
          <w:strike/>
          <w:color w:val="202935"/>
          <w:spacing w:val="-17"/>
          <w:sz w:val="24"/>
          <w:szCs w:val="24"/>
        </w:rPr>
        <w:t xml:space="preserve"> </w:t>
      </w:r>
      <w:r>
        <w:rPr>
          <w:strike/>
          <w:color w:val="202935"/>
          <w:spacing w:val="-3"/>
          <w:sz w:val="24"/>
          <w:szCs w:val="24"/>
        </w:rPr>
        <w:t>15min</w:t>
      </w:r>
      <w:r>
        <w:rPr>
          <w:strike/>
          <w:color w:val="202935"/>
          <w:spacing w:val="-34"/>
          <w:sz w:val="24"/>
          <w:szCs w:val="24"/>
        </w:rPr>
        <w:t xml:space="preserve"> </w:t>
      </w:r>
      <w:r>
        <w:rPr>
          <w:rFonts w:ascii="宋体" w:hAnsi="宋体" w:eastAsia="宋体" w:cs="宋体"/>
          <w:strike/>
          <w:color w:val="202935"/>
          <w:spacing w:val="-3"/>
          <w:sz w:val="24"/>
          <w:szCs w:val="24"/>
        </w:rPr>
        <w:t>。</w:t>
      </w:r>
    </w:p>
    <w:p w14:paraId="6275AF26">
      <w:pPr>
        <w:pStyle w:val="2"/>
        <w:spacing w:before="112" w:line="338" w:lineRule="auto"/>
        <w:ind w:left="4" w:right="168" w:hanging="2"/>
        <w:rPr>
          <w:rFonts w:ascii="宋体" w:hAnsi="宋体" w:eastAsia="宋体" w:cs="宋体"/>
          <w:sz w:val="24"/>
          <w:szCs w:val="24"/>
        </w:rPr>
      </w:pPr>
      <w:r>
        <w:rPr>
          <w:rFonts w:ascii="宋体" w:hAnsi="宋体" w:eastAsia="宋体" w:cs="宋体"/>
          <w:strike/>
          <w:color w:val="202935"/>
          <w:spacing w:val="-3"/>
          <w:sz w:val="24"/>
          <w:szCs w:val="24"/>
        </w:rPr>
        <w:t>检查数量：第</w:t>
      </w:r>
      <w:r>
        <w:rPr>
          <w:rFonts w:ascii="宋体" w:hAnsi="宋体" w:eastAsia="宋体" w:cs="宋体"/>
          <w:strike/>
          <w:color w:val="202935"/>
          <w:spacing w:val="-34"/>
          <w:sz w:val="24"/>
          <w:szCs w:val="24"/>
        </w:rPr>
        <w:t xml:space="preserve"> </w:t>
      </w:r>
      <w:r>
        <w:rPr>
          <w:strike/>
          <w:color w:val="202935"/>
          <w:spacing w:val="-3"/>
          <w:sz w:val="24"/>
          <w:szCs w:val="24"/>
        </w:rPr>
        <w:t xml:space="preserve">1 </w:t>
      </w:r>
      <w:r>
        <w:rPr>
          <w:rFonts w:ascii="宋体" w:hAnsi="宋体" w:eastAsia="宋体" w:cs="宋体"/>
          <w:strike/>
          <w:color w:val="202935"/>
          <w:spacing w:val="-3"/>
          <w:sz w:val="24"/>
          <w:szCs w:val="24"/>
        </w:rPr>
        <w:t>款按每检验批的灯具数量抽查</w:t>
      </w:r>
      <w:r>
        <w:rPr>
          <w:rFonts w:ascii="宋体" w:hAnsi="宋体" w:eastAsia="宋体" w:cs="宋体"/>
          <w:strike/>
          <w:color w:val="202935"/>
          <w:spacing w:val="-50"/>
          <w:sz w:val="24"/>
          <w:szCs w:val="24"/>
        </w:rPr>
        <w:t xml:space="preserve"> </w:t>
      </w:r>
      <w:r>
        <w:rPr>
          <w:strike/>
          <w:color w:val="202935"/>
          <w:spacing w:val="-3"/>
          <w:sz w:val="24"/>
          <w:szCs w:val="24"/>
        </w:rPr>
        <w:t>5</w:t>
      </w:r>
      <w:r>
        <w:rPr>
          <w:rFonts w:ascii="宋体" w:hAnsi="宋体" w:eastAsia="宋体" w:cs="宋体"/>
          <w:strike/>
          <w:color w:val="202935"/>
          <w:spacing w:val="-2"/>
          <w:sz w:val="24"/>
          <w:szCs w:val="24"/>
        </w:rPr>
        <w:t>％，</w:t>
      </w:r>
      <w:r>
        <w:rPr>
          <w:rFonts w:ascii="宋体" w:hAnsi="宋体" w:eastAsia="宋体" w:cs="宋体"/>
          <w:strike/>
          <w:color w:val="202935"/>
          <w:spacing w:val="-3"/>
          <w:sz w:val="24"/>
          <w:szCs w:val="24"/>
        </w:rPr>
        <w:t>且不得</w:t>
      </w:r>
      <w:r>
        <w:rPr>
          <w:rFonts w:ascii="宋体" w:hAnsi="宋体" w:eastAsia="宋体" w:cs="宋体"/>
          <w:strike/>
          <w:color w:val="202935"/>
          <w:spacing w:val="-4"/>
          <w:sz w:val="24"/>
          <w:szCs w:val="24"/>
        </w:rPr>
        <w:t xml:space="preserve">少于 </w:t>
      </w:r>
      <w:r>
        <w:rPr>
          <w:strike/>
          <w:color w:val="202935"/>
          <w:spacing w:val="-4"/>
          <w:sz w:val="24"/>
          <w:szCs w:val="24"/>
        </w:rPr>
        <w:t xml:space="preserve">1 </w:t>
      </w:r>
      <w:r>
        <w:rPr>
          <w:rFonts w:ascii="宋体" w:hAnsi="宋体" w:eastAsia="宋体" w:cs="宋体"/>
          <w:strike/>
          <w:color w:val="202935"/>
          <w:spacing w:val="-4"/>
          <w:sz w:val="24"/>
          <w:szCs w:val="24"/>
        </w:rPr>
        <w:t>套；第</w:t>
      </w:r>
      <w:r>
        <w:rPr>
          <w:rFonts w:ascii="宋体" w:hAnsi="宋体" w:eastAsia="宋体" w:cs="宋体"/>
          <w:strike/>
          <w:color w:val="202935"/>
          <w:spacing w:val="-53"/>
          <w:sz w:val="24"/>
          <w:szCs w:val="24"/>
        </w:rPr>
        <w:t xml:space="preserve"> </w:t>
      </w:r>
      <w:r>
        <w:rPr>
          <w:strike/>
          <w:color w:val="202935"/>
          <w:spacing w:val="-4"/>
          <w:sz w:val="24"/>
          <w:szCs w:val="24"/>
        </w:rPr>
        <w:t xml:space="preserve">2 </w:t>
      </w:r>
      <w:r>
        <w:rPr>
          <w:rFonts w:ascii="宋体" w:hAnsi="宋体" w:eastAsia="宋体" w:cs="宋体"/>
          <w:strike/>
          <w:color w:val="202935"/>
          <w:spacing w:val="-4"/>
          <w:sz w:val="24"/>
          <w:szCs w:val="24"/>
        </w:rPr>
        <w:t>款全数检</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查。</w:t>
      </w:r>
    </w:p>
    <w:p w14:paraId="46E9B9B3">
      <w:pPr>
        <w:spacing w:line="322" w:lineRule="auto"/>
        <w:ind w:left="1" w:right="160"/>
        <w:rPr>
          <w:rFonts w:ascii="宋体" w:hAnsi="宋体" w:eastAsia="宋体" w:cs="宋体"/>
          <w:sz w:val="24"/>
          <w:szCs w:val="24"/>
        </w:rPr>
      </w:pPr>
      <w:r>
        <w:rPr>
          <w:rFonts w:ascii="宋体" w:hAnsi="宋体" w:eastAsia="宋体" w:cs="宋体"/>
          <w:strike/>
          <w:color w:val="202935"/>
          <w:sz w:val="24"/>
          <w:szCs w:val="24"/>
        </w:rPr>
        <w:t>检查方法：施工或强度试验时观察检查，查阅灯具固定装置</w:t>
      </w:r>
      <w:r>
        <w:rPr>
          <w:rFonts w:ascii="宋体" w:hAnsi="宋体" w:eastAsia="宋体" w:cs="宋体"/>
          <w:strike/>
          <w:color w:val="202935"/>
          <w:spacing w:val="-1"/>
          <w:sz w:val="24"/>
          <w:szCs w:val="24"/>
        </w:rPr>
        <w:t>及悬吊装置的载荷强度试</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验记录。</w:t>
      </w:r>
    </w:p>
    <w:p w14:paraId="1335F0E9">
      <w:pPr>
        <w:pStyle w:val="2"/>
        <w:spacing w:before="3" w:line="345" w:lineRule="auto"/>
        <w:ind w:left="1" w:right="187" w:firstLine="17"/>
        <w:rPr>
          <w:rFonts w:ascii="宋体" w:hAnsi="宋体" w:eastAsia="宋体" w:cs="宋体"/>
          <w:sz w:val="24"/>
          <w:szCs w:val="24"/>
        </w:rPr>
      </w:pPr>
      <w:r>
        <w:rPr>
          <w:strike/>
          <w:color w:val="202935"/>
          <w:spacing w:val="-1"/>
          <w:sz w:val="24"/>
          <w:szCs w:val="24"/>
        </w:rPr>
        <w:t xml:space="preserve">18.1.5    </w:t>
      </w:r>
      <w:r>
        <w:rPr>
          <w:rFonts w:ascii="宋体" w:hAnsi="宋体" w:eastAsia="宋体" w:cs="宋体"/>
          <w:strike/>
          <w:color w:val="202935"/>
          <w:spacing w:val="-1"/>
          <w:sz w:val="24"/>
          <w:szCs w:val="24"/>
        </w:rPr>
        <w:t>普通灯具的Ⅰ类灯具外露可导电部分必须采用铜芯软导线与保护导体可靠连</w:t>
      </w:r>
      <w:r>
        <w:rPr>
          <w:rFonts w:ascii="宋体" w:hAnsi="宋体" w:eastAsia="宋体" w:cs="宋体"/>
          <w:color w:val="202935"/>
          <w:spacing w:val="15"/>
          <w:sz w:val="24"/>
          <w:szCs w:val="24"/>
        </w:rPr>
        <w:t xml:space="preserve"> </w:t>
      </w:r>
      <w:r>
        <w:rPr>
          <w:rFonts w:ascii="宋体" w:hAnsi="宋体" w:eastAsia="宋体" w:cs="宋体"/>
          <w:strike/>
          <w:color w:val="202935"/>
          <w:sz w:val="24"/>
          <w:szCs w:val="24"/>
        </w:rPr>
        <w:t>接，连接处应设置接地标识，铜芯软导线的截面积应与进入</w:t>
      </w:r>
      <w:r>
        <w:rPr>
          <w:rFonts w:ascii="宋体" w:hAnsi="宋体" w:eastAsia="宋体" w:cs="宋体"/>
          <w:strike/>
          <w:color w:val="202935"/>
          <w:spacing w:val="-1"/>
          <w:sz w:val="24"/>
          <w:szCs w:val="24"/>
        </w:rPr>
        <w:t>灯具的电源线截面积相</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同。</w:t>
      </w:r>
    </w:p>
    <w:p w14:paraId="021B4A07">
      <w:pPr>
        <w:pStyle w:val="2"/>
        <w:spacing w:before="14" w:line="220" w:lineRule="auto"/>
        <w:ind w:left="2"/>
        <w:rPr>
          <w:rFonts w:ascii="宋体" w:hAnsi="宋体" w:eastAsia="宋体" w:cs="宋体"/>
          <w:sz w:val="24"/>
          <w:szCs w:val="24"/>
        </w:rPr>
      </w:pPr>
      <w:r>
        <w:rPr>
          <w:rFonts w:ascii="宋体" w:hAnsi="宋体" w:eastAsia="宋体" w:cs="宋体"/>
          <w:strike/>
          <w:color w:val="202935"/>
          <w:spacing w:val="-3"/>
          <w:sz w:val="24"/>
          <w:szCs w:val="24"/>
        </w:rPr>
        <w:t>检查数量：按每检验批的灯具数量抽查</w:t>
      </w:r>
      <w:r>
        <w:rPr>
          <w:rFonts w:ascii="宋体" w:hAnsi="宋体" w:eastAsia="宋体" w:cs="宋体"/>
          <w:strike/>
          <w:color w:val="202935"/>
          <w:spacing w:val="-49"/>
          <w:sz w:val="24"/>
          <w:szCs w:val="24"/>
        </w:rPr>
        <w:t xml:space="preserve"> </w:t>
      </w:r>
      <w:r>
        <w:rPr>
          <w:strike/>
          <w:color w:val="202935"/>
          <w:spacing w:val="-3"/>
          <w:sz w:val="24"/>
          <w:szCs w:val="24"/>
        </w:rPr>
        <w:t>5</w:t>
      </w:r>
      <w:r>
        <w:rPr>
          <w:rFonts w:ascii="宋体" w:hAnsi="宋体" w:eastAsia="宋体" w:cs="宋体"/>
          <w:strike/>
          <w:color w:val="202935"/>
          <w:sz w:val="24"/>
          <w:szCs w:val="24"/>
        </w:rPr>
        <w:t>％，</w:t>
      </w:r>
      <w:r>
        <w:rPr>
          <w:rFonts w:ascii="宋体" w:hAnsi="宋体" w:eastAsia="宋体" w:cs="宋体"/>
          <w:strike/>
          <w:color w:val="202935"/>
          <w:spacing w:val="-3"/>
          <w:sz w:val="24"/>
          <w:szCs w:val="24"/>
        </w:rPr>
        <w:t xml:space="preserve">且不得少于 </w:t>
      </w:r>
      <w:r>
        <w:rPr>
          <w:strike/>
          <w:color w:val="202935"/>
          <w:spacing w:val="-3"/>
          <w:sz w:val="24"/>
          <w:szCs w:val="24"/>
        </w:rPr>
        <w:t xml:space="preserve">1 </w:t>
      </w:r>
      <w:r>
        <w:rPr>
          <w:rFonts w:ascii="宋体" w:hAnsi="宋体" w:eastAsia="宋体" w:cs="宋体"/>
          <w:strike/>
          <w:color w:val="202935"/>
          <w:spacing w:val="-3"/>
          <w:sz w:val="24"/>
          <w:szCs w:val="24"/>
        </w:rPr>
        <w:t>套。</w:t>
      </w:r>
    </w:p>
    <w:p w14:paraId="185FE105">
      <w:pPr>
        <w:spacing w:before="154" w:line="219" w:lineRule="auto"/>
        <w:ind w:left="2"/>
        <w:rPr>
          <w:rFonts w:ascii="宋体" w:hAnsi="宋体" w:eastAsia="宋体" w:cs="宋体"/>
          <w:sz w:val="24"/>
          <w:szCs w:val="24"/>
        </w:rPr>
      </w:pPr>
      <w:r>
        <w:rPr>
          <w:rFonts w:ascii="宋体" w:hAnsi="宋体" w:eastAsia="宋体" w:cs="宋体"/>
          <w:strike/>
          <w:color w:val="202935"/>
          <w:spacing w:val="-1"/>
          <w:sz w:val="24"/>
          <w:szCs w:val="24"/>
        </w:rPr>
        <w:t>检查方法：尺量检查、工具拧紧和测量检查。</w:t>
      </w:r>
    </w:p>
    <w:p w14:paraId="5C509AE0">
      <w:pPr>
        <w:pStyle w:val="2"/>
        <w:spacing w:before="111" w:line="346" w:lineRule="auto"/>
        <w:ind w:left="1" w:right="400" w:firstLine="17"/>
        <w:jc w:val="both"/>
        <w:rPr>
          <w:rFonts w:ascii="宋体" w:hAnsi="宋体" w:eastAsia="宋体" w:cs="宋体"/>
          <w:sz w:val="24"/>
          <w:szCs w:val="24"/>
        </w:rPr>
      </w:pPr>
      <w:r>
        <w:rPr>
          <w:strike/>
          <w:color w:val="202935"/>
          <w:spacing w:val="-1"/>
          <w:sz w:val="24"/>
          <w:szCs w:val="24"/>
        </w:rPr>
        <w:t xml:space="preserve">19.1.1    </w:t>
      </w:r>
      <w:r>
        <w:rPr>
          <w:rFonts w:ascii="宋体" w:hAnsi="宋体" w:eastAsia="宋体" w:cs="宋体"/>
          <w:strike/>
          <w:color w:val="202935"/>
          <w:spacing w:val="-1"/>
          <w:sz w:val="24"/>
          <w:szCs w:val="24"/>
        </w:rPr>
        <w:t>专用灯具的Ⅰ类灯具外露可导电部分必须用铜芯软导线与保护导体可靠连</w:t>
      </w:r>
      <w:r>
        <w:rPr>
          <w:rFonts w:ascii="宋体" w:hAnsi="宋体" w:eastAsia="宋体" w:cs="宋体"/>
          <w:color w:val="202935"/>
          <w:spacing w:val="14"/>
          <w:sz w:val="24"/>
          <w:szCs w:val="24"/>
        </w:rPr>
        <w:t xml:space="preserve"> </w:t>
      </w:r>
      <w:r>
        <w:rPr>
          <w:rFonts w:ascii="宋体" w:hAnsi="宋体" w:eastAsia="宋体" w:cs="宋体"/>
          <w:strike/>
          <w:color w:val="202935"/>
          <w:sz w:val="24"/>
          <w:szCs w:val="24"/>
        </w:rPr>
        <w:t>接，连接处应设置接地标识，铜芯软导线的截面积应与进入</w:t>
      </w:r>
      <w:r>
        <w:rPr>
          <w:rFonts w:ascii="宋体" w:hAnsi="宋体" w:eastAsia="宋体" w:cs="宋体"/>
          <w:strike/>
          <w:color w:val="202935"/>
          <w:spacing w:val="-1"/>
          <w:sz w:val="24"/>
          <w:szCs w:val="24"/>
        </w:rPr>
        <w:t>灯具的电源线截面积相</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同。</w:t>
      </w:r>
    </w:p>
    <w:p w14:paraId="03B320FA">
      <w:pPr>
        <w:pStyle w:val="2"/>
        <w:spacing w:before="15" w:line="220" w:lineRule="auto"/>
        <w:ind w:left="2"/>
        <w:rPr>
          <w:rFonts w:ascii="宋体" w:hAnsi="宋体" w:eastAsia="宋体" w:cs="宋体"/>
          <w:sz w:val="24"/>
          <w:szCs w:val="24"/>
        </w:rPr>
      </w:pPr>
      <w:r>
        <w:rPr>
          <w:rFonts w:ascii="宋体" w:hAnsi="宋体" w:eastAsia="宋体" w:cs="宋体"/>
          <w:strike/>
          <w:color w:val="202935"/>
          <w:spacing w:val="-3"/>
          <w:sz w:val="24"/>
          <w:szCs w:val="24"/>
        </w:rPr>
        <w:t>检查数量：按每检验批的灯具数量抽查</w:t>
      </w:r>
      <w:r>
        <w:rPr>
          <w:rFonts w:ascii="宋体" w:hAnsi="宋体" w:eastAsia="宋体" w:cs="宋体"/>
          <w:strike/>
          <w:color w:val="202935"/>
          <w:spacing w:val="-49"/>
          <w:sz w:val="24"/>
          <w:szCs w:val="24"/>
        </w:rPr>
        <w:t xml:space="preserve"> </w:t>
      </w:r>
      <w:r>
        <w:rPr>
          <w:strike/>
          <w:color w:val="202935"/>
          <w:spacing w:val="-3"/>
          <w:sz w:val="24"/>
          <w:szCs w:val="24"/>
        </w:rPr>
        <w:t>5</w:t>
      </w:r>
      <w:r>
        <w:rPr>
          <w:rFonts w:ascii="宋体" w:hAnsi="宋体" w:eastAsia="宋体" w:cs="宋体"/>
          <w:strike/>
          <w:color w:val="202935"/>
          <w:sz w:val="24"/>
          <w:szCs w:val="24"/>
        </w:rPr>
        <w:t>％，</w:t>
      </w:r>
      <w:r>
        <w:rPr>
          <w:rFonts w:ascii="宋体" w:hAnsi="宋体" w:eastAsia="宋体" w:cs="宋体"/>
          <w:strike/>
          <w:color w:val="202935"/>
          <w:spacing w:val="-3"/>
          <w:sz w:val="24"/>
          <w:szCs w:val="24"/>
        </w:rPr>
        <w:t xml:space="preserve">且不得少于 </w:t>
      </w:r>
      <w:r>
        <w:rPr>
          <w:strike/>
          <w:color w:val="202935"/>
          <w:spacing w:val="-3"/>
          <w:sz w:val="24"/>
          <w:szCs w:val="24"/>
        </w:rPr>
        <w:t xml:space="preserve">1 </w:t>
      </w:r>
      <w:r>
        <w:rPr>
          <w:rFonts w:ascii="宋体" w:hAnsi="宋体" w:eastAsia="宋体" w:cs="宋体"/>
          <w:strike/>
          <w:color w:val="202935"/>
          <w:spacing w:val="-3"/>
          <w:sz w:val="24"/>
          <w:szCs w:val="24"/>
        </w:rPr>
        <w:t>套。</w:t>
      </w:r>
    </w:p>
    <w:p w14:paraId="64CB02B5">
      <w:pPr>
        <w:spacing w:before="155" w:line="219" w:lineRule="auto"/>
        <w:ind w:left="2"/>
        <w:rPr>
          <w:rFonts w:ascii="宋体" w:hAnsi="宋体" w:eastAsia="宋体" w:cs="宋体"/>
          <w:sz w:val="24"/>
          <w:szCs w:val="24"/>
        </w:rPr>
      </w:pPr>
      <w:r>
        <w:rPr>
          <w:rFonts w:ascii="宋体" w:hAnsi="宋体" w:eastAsia="宋体" w:cs="宋体"/>
          <w:strike/>
          <w:color w:val="202935"/>
          <w:spacing w:val="-1"/>
          <w:sz w:val="24"/>
          <w:szCs w:val="24"/>
        </w:rPr>
        <w:t>检查方法：尺量检查、工具拧紧和测量检查。</w:t>
      </w:r>
    </w:p>
    <w:p w14:paraId="5227794E">
      <w:pPr>
        <w:pStyle w:val="2"/>
        <w:spacing w:before="111" w:line="327" w:lineRule="exact"/>
        <w:ind w:left="19"/>
        <w:rPr>
          <w:rFonts w:ascii="宋体" w:hAnsi="宋体" w:eastAsia="宋体" w:cs="宋体"/>
          <w:sz w:val="24"/>
          <w:szCs w:val="24"/>
        </w:rPr>
      </w:pPr>
      <w:r>
        <w:rPr>
          <w:strike/>
          <w:color w:val="202935"/>
          <w:spacing w:val="-1"/>
          <w:position w:val="1"/>
          <w:sz w:val="24"/>
          <w:szCs w:val="24"/>
        </w:rPr>
        <w:t xml:space="preserve">19.1.6    </w:t>
      </w:r>
      <w:r>
        <w:rPr>
          <w:rFonts w:ascii="宋体" w:hAnsi="宋体" w:eastAsia="宋体" w:cs="宋体"/>
          <w:strike/>
          <w:color w:val="202935"/>
          <w:spacing w:val="-1"/>
          <w:position w:val="1"/>
          <w:sz w:val="24"/>
          <w:szCs w:val="24"/>
        </w:rPr>
        <w:t>景观照明灯具安装应符合下列规定：</w:t>
      </w:r>
    </w:p>
    <w:p w14:paraId="1DA5368F">
      <w:pPr>
        <w:pStyle w:val="2"/>
        <w:spacing w:before="155" w:line="280" w:lineRule="auto"/>
        <w:ind w:left="1" w:firstLine="17"/>
        <w:rPr>
          <w:rFonts w:ascii="宋体" w:hAnsi="宋体" w:eastAsia="宋体" w:cs="宋体"/>
          <w:sz w:val="24"/>
          <w:szCs w:val="24"/>
        </w:rPr>
      </w:pPr>
      <w:r>
        <w:rPr>
          <w:strike/>
          <w:color w:val="202935"/>
          <w:spacing w:val="-1"/>
          <w:sz w:val="24"/>
          <w:szCs w:val="24"/>
        </w:rPr>
        <w:t xml:space="preserve">1    </w:t>
      </w:r>
      <w:r>
        <w:rPr>
          <w:rFonts w:ascii="宋体" w:hAnsi="宋体" w:eastAsia="宋体" w:cs="宋体"/>
          <w:strike/>
          <w:color w:val="202935"/>
          <w:spacing w:val="-1"/>
          <w:sz w:val="24"/>
          <w:szCs w:val="24"/>
        </w:rPr>
        <w:t>在人行道等人员来往密集场所安装的落地式灯具，当无围栏防护时，灯具距地面高</w:t>
      </w:r>
      <w:r>
        <w:rPr>
          <w:rFonts w:ascii="宋体" w:hAnsi="宋体" w:eastAsia="宋体" w:cs="宋体"/>
          <w:color w:val="202935"/>
          <w:spacing w:val="14"/>
          <w:sz w:val="24"/>
          <w:szCs w:val="24"/>
        </w:rPr>
        <w:t xml:space="preserve"> </w:t>
      </w:r>
      <w:r>
        <w:rPr>
          <w:rFonts w:ascii="宋体" w:hAnsi="宋体" w:eastAsia="宋体" w:cs="宋体"/>
          <w:strike/>
          <w:color w:val="202935"/>
          <w:spacing w:val="-2"/>
          <w:sz w:val="24"/>
          <w:szCs w:val="24"/>
        </w:rPr>
        <w:t>度应大于</w:t>
      </w:r>
      <w:r>
        <w:rPr>
          <w:rFonts w:ascii="宋体" w:hAnsi="宋体" w:eastAsia="宋体" w:cs="宋体"/>
          <w:strike/>
          <w:color w:val="202935"/>
          <w:spacing w:val="-52"/>
          <w:sz w:val="24"/>
          <w:szCs w:val="24"/>
        </w:rPr>
        <w:t xml:space="preserve"> </w:t>
      </w:r>
      <w:r>
        <w:rPr>
          <w:strike/>
          <w:color w:val="202935"/>
          <w:spacing w:val="-2"/>
          <w:sz w:val="24"/>
          <w:szCs w:val="24"/>
        </w:rPr>
        <w:t>2</w:t>
      </w:r>
      <w:r>
        <w:rPr>
          <w:color w:val="202935"/>
          <w:spacing w:val="-2"/>
          <w:sz w:val="24"/>
          <w:szCs w:val="24"/>
        </w:rPr>
        <w:t>.</w:t>
      </w:r>
      <w:r>
        <w:rPr>
          <w:strike/>
          <w:color w:val="202935"/>
          <w:spacing w:val="-2"/>
          <w:sz w:val="24"/>
          <w:szCs w:val="24"/>
        </w:rPr>
        <w:t>5m</w:t>
      </w:r>
      <w:r>
        <w:rPr>
          <w:strike/>
          <w:color w:val="202935"/>
          <w:spacing w:val="-36"/>
          <w:sz w:val="24"/>
          <w:szCs w:val="24"/>
        </w:rPr>
        <w:t xml:space="preserve"> </w:t>
      </w:r>
      <w:r>
        <w:rPr>
          <w:rFonts w:ascii="宋体" w:hAnsi="宋体" w:eastAsia="宋体" w:cs="宋体"/>
          <w:strike/>
          <w:color w:val="202935"/>
          <w:spacing w:val="-2"/>
          <w:sz w:val="24"/>
          <w:szCs w:val="24"/>
        </w:rPr>
        <w:t>；</w:t>
      </w:r>
    </w:p>
    <w:p w14:paraId="6B00DD28">
      <w:pPr>
        <w:pStyle w:val="2"/>
        <w:spacing w:before="152" w:line="280" w:lineRule="auto"/>
        <w:ind w:left="3" w:hanging="3"/>
        <w:rPr>
          <w:rFonts w:ascii="宋体" w:hAnsi="宋体" w:eastAsia="宋体" w:cs="宋体"/>
          <w:sz w:val="24"/>
          <w:szCs w:val="24"/>
        </w:rPr>
      </w:pPr>
      <w:r>
        <w:rPr>
          <w:strike/>
          <w:color w:val="202935"/>
          <w:sz w:val="24"/>
          <w:szCs w:val="24"/>
        </w:rPr>
        <w:t xml:space="preserve">2    </w:t>
      </w:r>
      <w:r>
        <w:rPr>
          <w:rFonts w:ascii="宋体" w:hAnsi="宋体" w:eastAsia="宋体" w:cs="宋体"/>
          <w:strike/>
          <w:color w:val="202935"/>
          <w:sz w:val="24"/>
          <w:szCs w:val="24"/>
        </w:rPr>
        <w:t>金属构架及金属保护管应分别与保护导体采用焊接或螺栓连接，</w:t>
      </w:r>
      <w:r>
        <w:rPr>
          <w:rFonts w:ascii="宋体" w:hAnsi="宋体" w:eastAsia="宋体" w:cs="宋体"/>
          <w:strike/>
          <w:color w:val="202935"/>
          <w:spacing w:val="-1"/>
          <w:sz w:val="24"/>
          <w:szCs w:val="24"/>
        </w:rPr>
        <w:t>连接处应设置接地</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标识。</w:t>
      </w:r>
    </w:p>
    <w:p w14:paraId="0C911169">
      <w:pPr>
        <w:spacing w:before="153" w:line="220" w:lineRule="auto"/>
        <w:ind w:left="2"/>
        <w:rPr>
          <w:rFonts w:ascii="宋体" w:hAnsi="宋体" w:eastAsia="宋体" w:cs="宋体"/>
          <w:sz w:val="24"/>
          <w:szCs w:val="24"/>
        </w:rPr>
      </w:pPr>
      <w:r>
        <w:rPr>
          <w:rFonts w:ascii="宋体" w:hAnsi="宋体" w:eastAsia="宋体" w:cs="宋体"/>
          <w:strike/>
          <w:color w:val="202935"/>
          <w:spacing w:val="-1"/>
          <w:sz w:val="24"/>
          <w:szCs w:val="24"/>
        </w:rPr>
        <w:t>检查数量：全数检查。</w:t>
      </w:r>
    </w:p>
    <w:p w14:paraId="3A280B34">
      <w:pPr>
        <w:spacing w:before="154" w:line="219" w:lineRule="auto"/>
        <w:ind w:left="2"/>
        <w:rPr>
          <w:rFonts w:ascii="宋体" w:hAnsi="宋体" w:eastAsia="宋体" w:cs="宋体"/>
          <w:sz w:val="24"/>
          <w:szCs w:val="24"/>
        </w:rPr>
      </w:pPr>
      <w:r>
        <w:rPr>
          <w:rFonts w:ascii="宋体" w:hAnsi="宋体" w:eastAsia="宋体" w:cs="宋体"/>
          <w:strike/>
          <w:color w:val="202935"/>
          <w:spacing w:val="-1"/>
          <w:sz w:val="24"/>
          <w:szCs w:val="24"/>
        </w:rPr>
        <w:t>检查方法：观察检查并用尺量检查，查阅隐蔽工程检查记录。</w:t>
      </w:r>
    </w:p>
    <w:p w14:paraId="76742BB6">
      <w:pPr>
        <w:pStyle w:val="2"/>
        <w:spacing w:before="113" w:line="327" w:lineRule="exact"/>
        <w:rPr>
          <w:rFonts w:ascii="宋体" w:hAnsi="宋体" w:eastAsia="宋体" w:cs="宋体"/>
          <w:sz w:val="24"/>
          <w:szCs w:val="24"/>
        </w:rPr>
      </w:pPr>
      <w:r>
        <w:rPr>
          <w:strike/>
          <w:color w:val="202935"/>
          <w:spacing w:val="-1"/>
          <w:position w:val="1"/>
          <w:sz w:val="24"/>
          <w:szCs w:val="24"/>
        </w:rPr>
        <w:t xml:space="preserve">20.1.3    </w:t>
      </w:r>
      <w:r>
        <w:rPr>
          <w:rFonts w:ascii="宋体" w:hAnsi="宋体" w:eastAsia="宋体" w:cs="宋体"/>
          <w:strike/>
          <w:color w:val="202935"/>
          <w:spacing w:val="-1"/>
          <w:position w:val="1"/>
          <w:sz w:val="24"/>
          <w:szCs w:val="24"/>
        </w:rPr>
        <w:t>插座接线应符合下列规定：</w:t>
      </w:r>
    </w:p>
    <w:p w14:paraId="1FDBB9C5">
      <w:pPr>
        <w:spacing w:line="327" w:lineRule="exact"/>
        <w:rPr>
          <w:rFonts w:ascii="宋体" w:hAnsi="宋体" w:eastAsia="宋体" w:cs="宋体"/>
          <w:sz w:val="24"/>
          <w:szCs w:val="24"/>
        </w:rPr>
        <w:sectPr>
          <w:footerReference r:id="rId51" w:type="default"/>
          <w:pgSz w:w="11907" w:h="16839"/>
          <w:pgMar w:top="400" w:right="1448" w:bottom="743" w:left="1424" w:header="0" w:footer="582" w:gutter="0"/>
          <w:cols w:space="720" w:num="1"/>
        </w:sectPr>
      </w:pPr>
    </w:p>
    <w:p w14:paraId="411CAD86">
      <w:pPr>
        <w:pStyle w:val="2"/>
        <w:spacing w:line="303" w:lineRule="auto"/>
      </w:pPr>
    </w:p>
    <w:p w14:paraId="4985A15D">
      <w:pPr>
        <w:pStyle w:val="2"/>
        <w:spacing w:line="303" w:lineRule="auto"/>
      </w:pPr>
    </w:p>
    <w:p w14:paraId="53DCD145">
      <w:pPr>
        <w:pStyle w:val="2"/>
        <w:spacing w:line="304" w:lineRule="auto"/>
      </w:pPr>
    </w:p>
    <w:p w14:paraId="4A8EBABE">
      <w:pPr>
        <w:pStyle w:val="2"/>
        <w:spacing w:before="78" w:line="299" w:lineRule="auto"/>
        <w:ind w:left="6" w:firstLine="16"/>
        <w:rPr>
          <w:rFonts w:ascii="宋体" w:hAnsi="宋体" w:eastAsia="宋体" w:cs="宋体"/>
          <w:sz w:val="24"/>
          <w:szCs w:val="24"/>
        </w:rPr>
      </w:pPr>
      <w:r>
        <w:rPr>
          <w:strike/>
          <w:color w:val="202935"/>
          <w:spacing w:val="-1"/>
          <w:sz w:val="24"/>
          <w:szCs w:val="24"/>
        </w:rPr>
        <w:t xml:space="preserve">1    </w:t>
      </w:r>
      <w:r>
        <w:rPr>
          <w:rFonts w:ascii="宋体" w:hAnsi="宋体" w:eastAsia="宋体" w:cs="宋体"/>
          <w:strike/>
          <w:color w:val="202935"/>
          <w:spacing w:val="-1"/>
          <w:sz w:val="24"/>
          <w:szCs w:val="24"/>
        </w:rPr>
        <w:t>对于单相两孔插座，面对插座的右孔或上孔应与相线连接，左孔或下孔应与中性导</w:t>
      </w:r>
      <w:r>
        <w:rPr>
          <w:rFonts w:ascii="宋体" w:hAnsi="宋体" w:eastAsia="宋体" w:cs="宋体"/>
          <w:color w:val="202935"/>
          <w:spacing w:val="14"/>
          <w:sz w:val="24"/>
          <w:szCs w:val="24"/>
        </w:rPr>
        <w:t xml:space="preserve"> </w:t>
      </w:r>
      <w:r>
        <w:rPr>
          <w:rFonts w:ascii="宋体" w:hAnsi="宋体" w:eastAsia="宋体" w:cs="宋体"/>
          <w:strike/>
          <w:color w:val="202935"/>
          <w:sz w:val="24"/>
          <w:szCs w:val="24"/>
        </w:rPr>
        <w:t>体</w:t>
      </w:r>
      <w:r>
        <w:rPr>
          <w:strike/>
          <w:color w:val="202935"/>
          <w:sz w:val="24"/>
          <w:szCs w:val="24"/>
        </w:rPr>
        <w:t>(N)</w:t>
      </w:r>
      <w:r>
        <w:rPr>
          <w:rFonts w:ascii="宋体" w:hAnsi="宋体" w:eastAsia="宋体" w:cs="宋体"/>
          <w:color w:val="202935"/>
          <w:sz w:val="24"/>
          <w:szCs w:val="24"/>
        </w:rPr>
        <w:t>连接；对于单相三孔插座，面对插座的右孔应与相线连接，左</w:t>
      </w:r>
      <w:r>
        <w:rPr>
          <w:rFonts w:ascii="宋体" w:hAnsi="宋体" w:eastAsia="宋体" w:cs="宋体"/>
          <w:color w:val="202935"/>
          <w:spacing w:val="-1"/>
          <w:sz w:val="24"/>
          <w:szCs w:val="24"/>
        </w:rPr>
        <w:t>孔应与中性导体</w:t>
      </w:r>
      <w:r>
        <w:rPr>
          <w:strike/>
          <w:color w:val="202935"/>
          <w:spacing w:val="-1"/>
          <w:sz w:val="24"/>
          <w:szCs w:val="24"/>
        </w:rPr>
        <w:t>(N)</w:t>
      </w:r>
      <w:r>
        <w:rPr>
          <w:color w:val="202935"/>
          <w:sz w:val="24"/>
          <w:szCs w:val="24"/>
        </w:rPr>
        <w:t xml:space="preserve"> </w:t>
      </w:r>
      <w:r>
        <w:rPr>
          <w:rFonts w:ascii="宋体" w:hAnsi="宋体" w:eastAsia="宋体" w:cs="宋体"/>
          <w:strike/>
          <w:color w:val="202935"/>
          <w:spacing w:val="-3"/>
          <w:sz w:val="24"/>
          <w:szCs w:val="24"/>
        </w:rPr>
        <w:t>连接。</w:t>
      </w:r>
    </w:p>
    <w:p w14:paraId="10B7B2F4">
      <w:pPr>
        <w:pStyle w:val="2"/>
        <w:spacing w:before="153" w:line="279" w:lineRule="auto"/>
        <w:ind w:left="4" w:right="25" w:hanging="1"/>
        <w:rPr>
          <w:rFonts w:ascii="宋体" w:hAnsi="宋体" w:eastAsia="宋体" w:cs="宋体"/>
          <w:sz w:val="24"/>
          <w:szCs w:val="24"/>
        </w:rPr>
      </w:pPr>
      <w:r>
        <w:rPr>
          <w:strike/>
          <w:color w:val="202935"/>
          <w:sz w:val="24"/>
          <w:szCs w:val="24"/>
        </w:rPr>
        <w:t>2</w:t>
      </w:r>
      <w:r>
        <w:rPr>
          <w:strike/>
          <w:color w:val="202935"/>
          <w:spacing w:val="22"/>
          <w:sz w:val="24"/>
          <w:szCs w:val="24"/>
        </w:rPr>
        <w:t xml:space="preserve">   </w:t>
      </w:r>
      <w:r>
        <w:rPr>
          <w:color w:val="202935"/>
          <w:spacing w:val="-55"/>
          <w:sz w:val="24"/>
          <w:szCs w:val="24"/>
        </w:rPr>
        <w:t xml:space="preserve"> </w:t>
      </w:r>
      <w:r>
        <w:rPr>
          <w:rFonts w:ascii="宋体" w:hAnsi="宋体" w:eastAsia="宋体" w:cs="宋体"/>
          <w:color w:val="202935"/>
          <w:sz w:val="24"/>
          <w:szCs w:val="24"/>
        </w:rPr>
        <w:t>单相三孔、三相四孔及三相五孔插座的保护</w:t>
      </w:r>
      <w:r>
        <w:rPr>
          <w:rFonts w:ascii="宋体" w:hAnsi="宋体" w:eastAsia="宋体" w:cs="宋体"/>
          <w:color w:val="202935"/>
          <w:spacing w:val="-1"/>
          <w:sz w:val="24"/>
          <w:szCs w:val="24"/>
        </w:rPr>
        <w:t>接地导体</w:t>
      </w:r>
      <w:r>
        <w:rPr>
          <w:strike/>
          <w:color w:val="202935"/>
          <w:spacing w:val="-1"/>
          <w:sz w:val="24"/>
          <w:szCs w:val="24"/>
        </w:rPr>
        <w:t>(PE)</w:t>
      </w:r>
      <w:r>
        <w:rPr>
          <w:rFonts w:ascii="宋体" w:hAnsi="宋体" w:eastAsia="宋体" w:cs="宋体"/>
          <w:strike/>
          <w:color w:val="202935"/>
          <w:spacing w:val="-1"/>
          <w:sz w:val="24"/>
          <w:szCs w:val="24"/>
        </w:rPr>
        <w:t>应接在上孔；插座的保护</w:t>
      </w:r>
      <w:r>
        <w:rPr>
          <w:rFonts w:ascii="宋体" w:hAnsi="宋体" w:eastAsia="宋体" w:cs="宋体"/>
          <w:color w:val="202935"/>
          <w:sz w:val="24"/>
          <w:szCs w:val="24"/>
        </w:rPr>
        <w:t xml:space="preserve"> </w:t>
      </w:r>
      <w:r>
        <w:rPr>
          <w:rFonts w:ascii="宋体" w:hAnsi="宋体" w:eastAsia="宋体" w:cs="宋体"/>
          <w:strike/>
          <w:color w:val="202935"/>
          <w:sz w:val="24"/>
          <w:szCs w:val="24"/>
        </w:rPr>
        <w:t>接地导体端子不得与中性导体端子连接；同</w:t>
      </w:r>
      <w:r>
        <w:rPr>
          <w:rFonts w:ascii="宋体" w:hAnsi="宋体" w:eastAsia="宋体" w:cs="宋体"/>
          <w:color w:val="202935"/>
          <w:sz w:val="24"/>
          <w:szCs w:val="24"/>
        </w:rPr>
        <w:t>一</w:t>
      </w:r>
      <w:r>
        <w:rPr>
          <w:rFonts w:ascii="宋体" w:hAnsi="宋体" w:eastAsia="宋体" w:cs="宋体"/>
          <w:strike/>
          <w:color w:val="202935"/>
          <w:sz w:val="24"/>
          <w:szCs w:val="24"/>
        </w:rPr>
        <w:t>场所的三相插座，其接线的相序应</w:t>
      </w:r>
      <w:r>
        <w:rPr>
          <w:rFonts w:ascii="宋体" w:hAnsi="宋体" w:eastAsia="宋体" w:cs="宋体"/>
          <w:color w:val="202935"/>
          <w:sz w:val="24"/>
          <w:szCs w:val="24"/>
        </w:rPr>
        <w:t>一</w:t>
      </w:r>
    </w:p>
    <w:p w14:paraId="6DFD51FF">
      <w:pPr>
        <w:spacing w:before="154" w:line="220" w:lineRule="auto"/>
        <w:ind w:left="6"/>
        <w:rPr>
          <w:rFonts w:ascii="宋体" w:hAnsi="宋体" w:eastAsia="宋体" w:cs="宋体"/>
          <w:sz w:val="24"/>
          <w:szCs w:val="24"/>
        </w:rPr>
      </w:pPr>
      <w:r>
        <w:rPr>
          <w:rFonts w:ascii="宋体" w:hAnsi="宋体" w:eastAsia="宋体" w:cs="宋体"/>
          <w:strike/>
          <w:color w:val="202935"/>
          <w:spacing w:val="-3"/>
          <w:sz w:val="24"/>
          <w:szCs w:val="24"/>
        </w:rPr>
        <w:t>致。</w:t>
      </w:r>
    </w:p>
    <w:p w14:paraId="2063A0A8">
      <w:pPr>
        <w:pStyle w:val="2"/>
        <w:spacing w:before="110" w:line="328" w:lineRule="exact"/>
        <w:ind w:left="6"/>
        <w:rPr>
          <w:rFonts w:ascii="宋体" w:hAnsi="宋体" w:eastAsia="宋体" w:cs="宋体"/>
          <w:sz w:val="24"/>
          <w:szCs w:val="24"/>
        </w:rPr>
      </w:pPr>
      <w:r>
        <w:rPr>
          <w:strike/>
          <w:color w:val="202935"/>
          <w:spacing w:val="-1"/>
          <w:position w:val="2"/>
          <w:sz w:val="24"/>
          <w:szCs w:val="24"/>
        </w:rPr>
        <w:t xml:space="preserve">3    </w:t>
      </w:r>
      <w:r>
        <w:rPr>
          <w:rFonts w:ascii="宋体" w:hAnsi="宋体" w:eastAsia="宋体" w:cs="宋体"/>
          <w:strike/>
          <w:color w:val="202935"/>
          <w:spacing w:val="-1"/>
          <w:position w:val="2"/>
          <w:sz w:val="24"/>
          <w:szCs w:val="24"/>
        </w:rPr>
        <w:t>保护接地导体</w:t>
      </w:r>
      <w:r>
        <w:rPr>
          <w:strike/>
          <w:color w:val="202935"/>
          <w:spacing w:val="-1"/>
          <w:position w:val="2"/>
          <w:sz w:val="24"/>
          <w:szCs w:val="24"/>
        </w:rPr>
        <w:t>(PE)</w:t>
      </w:r>
      <w:r>
        <w:rPr>
          <w:rFonts w:ascii="宋体" w:hAnsi="宋体" w:eastAsia="宋体" w:cs="宋体"/>
          <w:strike/>
          <w:color w:val="202935"/>
          <w:spacing w:val="-1"/>
          <w:position w:val="2"/>
          <w:sz w:val="24"/>
          <w:szCs w:val="24"/>
        </w:rPr>
        <w:t>在插座之间不得串联连接。</w:t>
      </w:r>
    </w:p>
    <w:p w14:paraId="7E3F3100">
      <w:pPr>
        <w:pStyle w:val="2"/>
        <w:spacing w:before="156" w:line="212" w:lineRule="auto"/>
        <w:rPr>
          <w:rFonts w:ascii="宋体" w:hAnsi="宋体" w:eastAsia="宋体" w:cs="宋体"/>
          <w:sz w:val="24"/>
          <w:szCs w:val="24"/>
        </w:rPr>
      </w:pPr>
      <w:r>
        <w:rPr>
          <w:strike/>
          <w:color w:val="202935"/>
          <w:sz w:val="24"/>
          <w:szCs w:val="24"/>
        </w:rPr>
        <w:t xml:space="preserve">4    </w:t>
      </w:r>
      <w:r>
        <w:rPr>
          <w:rFonts w:ascii="宋体" w:hAnsi="宋体" w:eastAsia="宋体" w:cs="宋体"/>
          <w:strike/>
          <w:color w:val="202935"/>
          <w:sz w:val="24"/>
          <w:szCs w:val="24"/>
        </w:rPr>
        <w:t>相线与中性导体</w:t>
      </w:r>
      <w:r>
        <w:rPr>
          <w:strike/>
          <w:color w:val="202935"/>
          <w:sz w:val="24"/>
          <w:szCs w:val="24"/>
        </w:rPr>
        <w:t>(N)</w:t>
      </w:r>
      <w:r>
        <w:rPr>
          <w:rFonts w:ascii="宋体" w:hAnsi="宋体" w:eastAsia="宋体" w:cs="宋体"/>
          <w:strike/>
          <w:color w:val="202935"/>
          <w:sz w:val="24"/>
          <w:szCs w:val="24"/>
        </w:rPr>
        <w:t>不应利用插座本体的接线端子转</w:t>
      </w:r>
      <w:r>
        <w:rPr>
          <w:rFonts w:ascii="宋体" w:hAnsi="宋体" w:eastAsia="宋体" w:cs="宋体"/>
          <w:strike/>
          <w:color w:val="202935"/>
          <w:spacing w:val="-1"/>
          <w:sz w:val="24"/>
          <w:szCs w:val="24"/>
        </w:rPr>
        <w:t>接供电。</w:t>
      </w:r>
    </w:p>
    <w:p w14:paraId="711BB007">
      <w:pPr>
        <w:pStyle w:val="2"/>
        <w:spacing w:before="163" w:line="220" w:lineRule="auto"/>
        <w:ind w:left="6"/>
        <w:rPr>
          <w:rFonts w:ascii="宋体" w:hAnsi="宋体" w:eastAsia="宋体" w:cs="宋体"/>
          <w:sz w:val="24"/>
          <w:szCs w:val="24"/>
        </w:rPr>
      </w:pPr>
      <w:r>
        <w:rPr>
          <w:rFonts w:ascii="宋体" w:hAnsi="宋体" w:eastAsia="宋体" w:cs="宋体"/>
          <w:strike/>
          <w:color w:val="202935"/>
          <w:spacing w:val="-3"/>
          <w:sz w:val="24"/>
          <w:szCs w:val="24"/>
        </w:rPr>
        <w:t>检查数量：按每检验批的插座型号各抽查</w:t>
      </w:r>
      <w:r>
        <w:rPr>
          <w:rFonts w:ascii="宋体" w:hAnsi="宋体" w:eastAsia="宋体" w:cs="宋体"/>
          <w:strike/>
          <w:color w:val="202935"/>
          <w:spacing w:val="-49"/>
          <w:sz w:val="24"/>
          <w:szCs w:val="24"/>
        </w:rPr>
        <w:t xml:space="preserve"> </w:t>
      </w:r>
      <w:r>
        <w:rPr>
          <w:strike/>
          <w:color w:val="202935"/>
          <w:spacing w:val="-3"/>
          <w:sz w:val="24"/>
          <w:szCs w:val="24"/>
        </w:rPr>
        <w:t>5</w:t>
      </w:r>
      <w:r>
        <w:rPr>
          <w:rFonts w:ascii="宋体" w:hAnsi="宋体" w:eastAsia="宋体" w:cs="宋体"/>
          <w:strike/>
          <w:color w:val="202935"/>
          <w:spacing w:val="3"/>
          <w:sz w:val="24"/>
          <w:szCs w:val="24"/>
        </w:rPr>
        <w:t>％，</w:t>
      </w:r>
      <w:r>
        <w:rPr>
          <w:rFonts w:ascii="宋体" w:hAnsi="宋体" w:eastAsia="宋体" w:cs="宋体"/>
          <w:strike/>
          <w:color w:val="202935"/>
          <w:spacing w:val="-3"/>
          <w:sz w:val="24"/>
          <w:szCs w:val="24"/>
        </w:rPr>
        <w:t xml:space="preserve">且均不得少于 </w:t>
      </w:r>
      <w:r>
        <w:rPr>
          <w:strike/>
          <w:color w:val="202935"/>
          <w:spacing w:val="-3"/>
          <w:sz w:val="24"/>
          <w:szCs w:val="24"/>
        </w:rPr>
        <w:t xml:space="preserve">1 </w:t>
      </w:r>
      <w:r>
        <w:rPr>
          <w:rFonts w:ascii="宋体" w:hAnsi="宋体" w:eastAsia="宋体" w:cs="宋体"/>
          <w:strike/>
          <w:color w:val="202935"/>
          <w:spacing w:val="-3"/>
          <w:sz w:val="24"/>
          <w:szCs w:val="24"/>
        </w:rPr>
        <w:t>套。</w:t>
      </w:r>
    </w:p>
    <w:p w14:paraId="6C6D2B63">
      <w:pPr>
        <w:spacing w:before="154" w:line="220" w:lineRule="auto"/>
        <w:ind w:left="6"/>
        <w:rPr>
          <w:rFonts w:ascii="宋体" w:hAnsi="宋体" w:eastAsia="宋体" w:cs="宋体"/>
          <w:sz w:val="24"/>
          <w:szCs w:val="24"/>
        </w:rPr>
      </w:pPr>
      <w:r>
        <w:rPr>
          <w:rFonts w:ascii="宋体" w:hAnsi="宋体" w:eastAsia="宋体" w:cs="宋体"/>
          <w:strike/>
          <w:color w:val="202935"/>
          <w:spacing w:val="-1"/>
          <w:sz w:val="24"/>
          <w:szCs w:val="24"/>
        </w:rPr>
        <w:t>检查方法：观察检查并用专用测试工具检查。</w:t>
      </w:r>
    </w:p>
    <w:p w14:paraId="55B2EF34">
      <w:pPr>
        <w:pStyle w:val="2"/>
        <w:spacing w:before="111" w:line="328" w:lineRule="exact"/>
        <w:ind w:left="3"/>
        <w:rPr>
          <w:rFonts w:ascii="宋体" w:hAnsi="宋体" w:eastAsia="宋体" w:cs="宋体"/>
          <w:sz w:val="24"/>
          <w:szCs w:val="24"/>
        </w:rPr>
      </w:pPr>
      <w:r>
        <w:rPr>
          <w:strike/>
          <w:color w:val="202935"/>
          <w:spacing w:val="-1"/>
          <w:position w:val="1"/>
          <w:sz w:val="24"/>
          <w:szCs w:val="24"/>
        </w:rPr>
        <w:t xml:space="preserve">23.1.1    </w:t>
      </w:r>
      <w:r>
        <w:rPr>
          <w:rFonts w:ascii="宋体" w:hAnsi="宋体" w:eastAsia="宋体" w:cs="宋体"/>
          <w:strike/>
          <w:color w:val="202935"/>
          <w:spacing w:val="-1"/>
          <w:position w:val="1"/>
          <w:sz w:val="24"/>
          <w:szCs w:val="24"/>
        </w:rPr>
        <w:t>接地干线应与接地装置可靠连接。</w:t>
      </w:r>
    </w:p>
    <w:p w14:paraId="0233654E">
      <w:pPr>
        <w:spacing w:before="154" w:line="220" w:lineRule="auto"/>
        <w:ind w:left="6"/>
        <w:rPr>
          <w:rFonts w:ascii="宋体" w:hAnsi="宋体" w:eastAsia="宋体" w:cs="宋体"/>
          <w:sz w:val="24"/>
          <w:szCs w:val="24"/>
        </w:rPr>
      </w:pPr>
      <w:r>
        <w:rPr>
          <w:rFonts w:ascii="宋体" w:hAnsi="宋体" w:eastAsia="宋体" w:cs="宋体"/>
          <w:strike/>
          <w:color w:val="202935"/>
          <w:spacing w:val="-1"/>
          <w:sz w:val="24"/>
          <w:szCs w:val="24"/>
        </w:rPr>
        <w:t>检查数量：全数检查。</w:t>
      </w:r>
    </w:p>
    <w:p w14:paraId="001CF931">
      <w:pPr>
        <w:spacing w:before="155" w:line="220" w:lineRule="auto"/>
        <w:ind w:left="6"/>
        <w:rPr>
          <w:rFonts w:ascii="宋体" w:hAnsi="宋体" w:eastAsia="宋体" w:cs="宋体"/>
          <w:sz w:val="24"/>
          <w:szCs w:val="24"/>
        </w:rPr>
      </w:pPr>
      <w:r>
        <w:rPr>
          <w:rFonts w:ascii="宋体" w:hAnsi="宋体" w:eastAsia="宋体" w:cs="宋体"/>
          <w:strike/>
          <w:color w:val="202935"/>
          <w:spacing w:val="-1"/>
          <w:sz w:val="24"/>
          <w:szCs w:val="24"/>
        </w:rPr>
        <w:t>检查方法：观察检查。</w:t>
      </w:r>
    </w:p>
    <w:p w14:paraId="4C26A3DC">
      <w:pPr>
        <w:pStyle w:val="2"/>
        <w:spacing w:before="111" w:line="333" w:lineRule="auto"/>
        <w:ind w:left="9" w:right="213" w:hanging="6"/>
        <w:rPr>
          <w:rFonts w:ascii="宋体" w:hAnsi="宋体" w:eastAsia="宋体" w:cs="宋体"/>
          <w:sz w:val="24"/>
          <w:szCs w:val="24"/>
        </w:rPr>
      </w:pPr>
      <w:r>
        <w:rPr>
          <w:strike/>
          <w:color w:val="202935"/>
          <w:sz w:val="24"/>
          <w:szCs w:val="24"/>
        </w:rPr>
        <w:t xml:space="preserve">24.1.3    </w:t>
      </w:r>
      <w:r>
        <w:rPr>
          <w:rFonts w:ascii="宋体" w:hAnsi="宋体" w:eastAsia="宋体" w:cs="宋体"/>
          <w:strike/>
          <w:color w:val="202935"/>
          <w:sz w:val="24"/>
          <w:szCs w:val="24"/>
        </w:rPr>
        <w:t>接闪器与防雷引下线必须采用焊接或卡接器连接，防雷</w:t>
      </w:r>
      <w:r>
        <w:rPr>
          <w:rFonts w:ascii="宋体" w:hAnsi="宋体" w:eastAsia="宋体" w:cs="宋体"/>
          <w:strike/>
          <w:color w:val="202935"/>
          <w:spacing w:val="-1"/>
          <w:sz w:val="24"/>
          <w:szCs w:val="24"/>
        </w:rPr>
        <w:t>引下线与接地装置必</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须采用焊接或螺栓连接。</w:t>
      </w:r>
    </w:p>
    <w:p w14:paraId="270C19C1">
      <w:pPr>
        <w:spacing w:before="57" w:line="220" w:lineRule="auto"/>
        <w:ind w:left="6"/>
        <w:rPr>
          <w:rFonts w:ascii="宋体" w:hAnsi="宋体" w:eastAsia="宋体" w:cs="宋体"/>
          <w:sz w:val="24"/>
          <w:szCs w:val="24"/>
        </w:rPr>
      </w:pPr>
      <w:r>
        <w:rPr>
          <w:rFonts w:ascii="宋体" w:hAnsi="宋体" w:eastAsia="宋体" w:cs="宋体"/>
          <w:strike/>
          <w:color w:val="202935"/>
          <w:spacing w:val="-1"/>
          <w:sz w:val="24"/>
          <w:szCs w:val="24"/>
        </w:rPr>
        <w:t>检查数量：全数检查。</w:t>
      </w:r>
    </w:p>
    <w:p w14:paraId="3A012ED9">
      <w:pPr>
        <w:spacing w:before="155" w:line="219" w:lineRule="auto"/>
        <w:ind w:left="6"/>
        <w:rPr>
          <w:rFonts w:ascii="宋体" w:hAnsi="宋体" w:eastAsia="宋体" w:cs="宋体"/>
          <w:sz w:val="24"/>
          <w:szCs w:val="24"/>
        </w:rPr>
      </w:pPr>
      <w:r>
        <w:rPr>
          <w:rFonts w:ascii="宋体" w:hAnsi="宋体" w:eastAsia="宋体" w:cs="宋体"/>
          <w:strike/>
          <w:color w:val="202935"/>
          <w:spacing w:val="-1"/>
          <w:sz w:val="24"/>
          <w:szCs w:val="24"/>
        </w:rPr>
        <w:t>检查方法：观察检查，并采用专用工具拧紧检查。</w:t>
      </w:r>
    </w:p>
    <w:p w14:paraId="08AA5F9F">
      <w:pPr>
        <w:spacing w:before="202" w:line="226" w:lineRule="auto"/>
        <w:ind w:left="6"/>
        <w:outlineLvl w:val="1"/>
        <w:rPr>
          <w:rFonts w:ascii="Times New Roman" w:hAnsi="Times New Roman" w:eastAsia="Times New Roman" w:cs="Times New Roman"/>
          <w:sz w:val="27"/>
          <w:szCs w:val="27"/>
        </w:rPr>
      </w:pPr>
      <w:bookmarkStart w:id="67" w:name="bookmark114"/>
      <w:bookmarkEnd w:id="67"/>
      <w:r>
        <w:rPr>
          <w:rFonts w:ascii="Times New Roman" w:hAnsi="Times New Roman" w:eastAsia="Times New Roman" w:cs="Times New Roman"/>
          <w:b/>
          <w:bCs/>
          <w:spacing w:val="6"/>
          <w:sz w:val="27"/>
          <w:szCs w:val="27"/>
        </w:rPr>
        <w:t>5.</w:t>
      </w:r>
      <w:r>
        <w:rPr>
          <w:rFonts w:ascii="Times New Roman" w:hAnsi="Times New Roman" w:eastAsia="Times New Roman" w:cs="Times New Roman"/>
          <w:b/>
          <w:bCs/>
          <w:spacing w:val="-41"/>
          <w:sz w:val="27"/>
          <w:szCs w:val="27"/>
        </w:rPr>
        <w:t xml:space="preserve"> </w:t>
      </w:r>
      <w:r>
        <w:rPr>
          <w:rFonts w:ascii="宋体" w:hAnsi="宋体" w:eastAsia="宋体" w:cs="宋体"/>
          <w:b/>
          <w:bCs/>
          <w:spacing w:val="6"/>
          <w:sz w:val="27"/>
          <w:szCs w:val="27"/>
        </w:rPr>
        <w:t>《电梯工程施工质量验收规范》——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50310-20</w:t>
      </w:r>
      <w:r>
        <w:rPr>
          <w:rFonts w:ascii="Times New Roman" w:hAnsi="Times New Roman" w:eastAsia="Times New Roman" w:cs="Times New Roman"/>
          <w:b/>
          <w:bCs/>
          <w:spacing w:val="5"/>
          <w:sz w:val="27"/>
          <w:szCs w:val="27"/>
        </w:rPr>
        <w:t>02</w:t>
      </w:r>
    </w:p>
    <w:p w14:paraId="101FBF40">
      <w:pPr>
        <w:spacing w:before="285" w:line="220"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4.2.3    </w:t>
      </w:r>
      <w:r>
        <w:rPr>
          <w:rFonts w:ascii="宋体" w:hAnsi="宋体" w:eastAsia="宋体" w:cs="宋体"/>
          <w:spacing w:val="-3"/>
          <w:sz w:val="24"/>
          <w:szCs w:val="24"/>
        </w:rPr>
        <w:t>井道必须符合下列规定：</w:t>
      </w:r>
    </w:p>
    <w:p w14:paraId="3D0E6DA9">
      <w:pPr>
        <w:spacing w:before="154" w:line="299" w:lineRule="auto"/>
        <w:ind w:left="6" w:right="186" w:firstLine="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当底坑底面下有人员能到达的空间存在，且对重（或平衡重）上未设有安全钳</w:t>
      </w:r>
      <w:r>
        <w:rPr>
          <w:rFonts w:ascii="宋体" w:hAnsi="宋体" w:eastAsia="宋体" w:cs="宋体"/>
          <w:spacing w:val="7"/>
          <w:sz w:val="24"/>
          <w:szCs w:val="24"/>
        </w:rPr>
        <w:t xml:space="preserve"> </w:t>
      </w:r>
      <w:r>
        <w:rPr>
          <w:rFonts w:ascii="宋体" w:hAnsi="宋体" w:eastAsia="宋体" w:cs="宋体"/>
          <w:sz w:val="24"/>
          <w:szCs w:val="24"/>
        </w:rPr>
        <w:t>装置时，对重缓冲器必须能安装在（或平衡重运行区域的下</w:t>
      </w:r>
      <w:r>
        <w:rPr>
          <w:rFonts w:ascii="宋体" w:hAnsi="宋体" w:eastAsia="宋体" w:cs="宋体"/>
          <w:spacing w:val="-1"/>
          <w:sz w:val="24"/>
          <w:szCs w:val="24"/>
        </w:rPr>
        <w:t>边必须）一直延伸到坚固</w:t>
      </w:r>
      <w:r>
        <w:rPr>
          <w:rFonts w:ascii="宋体" w:hAnsi="宋体" w:eastAsia="宋体" w:cs="宋体"/>
          <w:sz w:val="24"/>
          <w:szCs w:val="24"/>
        </w:rPr>
        <w:t xml:space="preserve"> </w:t>
      </w:r>
      <w:r>
        <w:rPr>
          <w:rFonts w:ascii="宋体" w:hAnsi="宋体" w:eastAsia="宋体" w:cs="宋体"/>
          <w:spacing w:val="-6"/>
          <w:sz w:val="24"/>
          <w:szCs w:val="24"/>
        </w:rPr>
        <w:t>地面上的实心桩墩上；</w:t>
      </w:r>
    </w:p>
    <w:p w14:paraId="5C2DF72D">
      <w:pPr>
        <w:spacing w:before="153" w:line="280" w:lineRule="auto"/>
        <w:ind w:left="6" w:right="59" w:firstLine="475"/>
        <w:rPr>
          <w:rFonts w:ascii="宋体" w:hAnsi="宋体" w:eastAsia="宋体" w:cs="宋体"/>
          <w:sz w:val="24"/>
          <w:szCs w:val="24"/>
        </w:rPr>
      </w:pPr>
      <w:r>
        <w:rPr>
          <w:rFonts w:ascii="Times New Roman" w:hAnsi="Times New Roman" w:eastAsia="Times New Roman" w:cs="Times New Roman"/>
          <w:spacing w:val="-3"/>
          <w:sz w:val="24"/>
          <w:szCs w:val="24"/>
        </w:rPr>
        <w:t>2</w:t>
      </w:r>
      <w:r>
        <w:rPr>
          <w:rFonts w:ascii="Times New Roman" w:hAnsi="Times New Roman" w:eastAsia="Times New Roman" w:cs="Times New Roman"/>
          <w:spacing w:val="23"/>
          <w:w w:val="101"/>
          <w:sz w:val="24"/>
          <w:szCs w:val="24"/>
        </w:rPr>
        <w:t xml:space="preserve">  </w:t>
      </w:r>
      <w:r>
        <w:rPr>
          <w:rFonts w:ascii="宋体" w:hAnsi="宋体" w:eastAsia="宋体" w:cs="宋体"/>
          <w:spacing w:val="-3"/>
          <w:sz w:val="24"/>
          <w:szCs w:val="24"/>
        </w:rPr>
        <w:t>电梯安装之前，所有层门预留孔必须设有高度不小于</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1.2m</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的安全保护围封，并</w:t>
      </w:r>
      <w:r>
        <w:rPr>
          <w:rFonts w:ascii="宋体" w:hAnsi="宋体" w:eastAsia="宋体" w:cs="宋体"/>
          <w:sz w:val="24"/>
          <w:szCs w:val="24"/>
        </w:rPr>
        <w:t xml:space="preserve"> </w:t>
      </w:r>
      <w:r>
        <w:rPr>
          <w:rFonts w:ascii="宋体" w:hAnsi="宋体" w:eastAsia="宋体" w:cs="宋体"/>
          <w:spacing w:val="-6"/>
          <w:sz w:val="24"/>
          <w:szCs w:val="24"/>
        </w:rPr>
        <w:t>应保证有足够的强度；</w:t>
      </w:r>
    </w:p>
    <w:p w14:paraId="426F059E">
      <w:pPr>
        <w:spacing w:before="152" w:line="299" w:lineRule="auto"/>
        <w:ind w:left="21" w:right="140" w:firstLine="465"/>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当相邻两层门地坎间的距离大于</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11m</w:t>
      </w:r>
      <w:r>
        <w:rPr>
          <w:rFonts w:ascii="Times New Roman" w:hAnsi="Times New Roman" w:eastAsia="Times New Roman" w:cs="Times New Roman"/>
          <w:spacing w:val="21"/>
          <w:w w:val="101"/>
          <w:sz w:val="24"/>
          <w:szCs w:val="24"/>
        </w:rPr>
        <w:t xml:space="preserve"> </w:t>
      </w:r>
      <w:r>
        <w:rPr>
          <w:rFonts w:ascii="宋体" w:hAnsi="宋体" w:eastAsia="宋体" w:cs="宋体"/>
          <w:spacing w:val="-2"/>
          <w:sz w:val="24"/>
          <w:szCs w:val="24"/>
        </w:rPr>
        <w:t>时，其间必须设置井道安全门</w:t>
      </w:r>
      <w:r>
        <w:rPr>
          <w:rFonts w:ascii="宋体" w:hAnsi="宋体" w:eastAsia="宋体" w:cs="宋体"/>
          <w:spacing w:val="-3"/>
          <w:sz w:val="24"/>
          <w:szCs w:val="24"/>
        </w:rPr>
        <w:t>，井道安全</w:t>
      </w:r>
      <w:r>
        <w:rPr>
          <w:rFonts w:ascii="宋体" w:hAnsi="宋体" w:eastAsia="宋体" w:cs="宋体"/>
          <w:sz w:val="24"/>
          <w:szCs w:val="24"/>
        </w:rPr>
        <w:t xml:space="preserve"> 门严禁向井道内开启，且必须装有安全门处于关闭时电梯才能运行的电气安全装置。 </w:t>
      </w:r>
      <w:r>
        <w:rPr>
          <w:rFonts w:ascii="宋体" w:hAnsi="宋体" w:eastAsia="宋体" w:cs="宋体"/>
          <w:spacing w:val="-2"/>
          <w:sz w:val="24"/>
          <w:szCs w:val="24"/>
        </w:rPr>
        <w:t>当相邻轿厢间有相互救援用轿厢安全门时，</w:t>
      </w:r>
      <w:r>
        <w:rPr>
          <w:rFonts w:ascii="宋体" w:hAnsi="宋体" w:eastAsia="宋体" w:cs="宋体"/>
          <w:spacing w:val="-3"/>
          <w:sz w:val="24"/>
          <w:szCs w:val="24"/>
        </w:rPr>
        <w:t>可不执行本款。</w:t>
      </w:r>
    </w:p>
    <w:p w14:paraId="49E441EA">
      <w:pPr>
        <w:spacing w:before="155"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4.5.2    </w:t>
      </w:r>
      <w:r>
        <w:rPr>
          <w:rFonts w:ascii="宋体" w:hAnsi="宋体" w:eastAsia="宋体" w:cs="宋体"/>
          <w:spacing w:val="-2"/>
          <w:sz w:val="24"/>
          <w:szCs w:val="24"/>
        </w:rPr>
        <w:t>层门强迫关门装置必须动作正常。</w:t>
      </w:r>
    </w:p>
    <w:p w14:paraId="1540B1D6">
      <w:pPr>
        <w:spacing w:before="153" w:line="280" w:lineRule="auto"/>
        <w:ind w:left="11" w:right="186" w:hanging="11"/>
        <w:rPr>
          <w:rFonts w:ascii="宋体" w:hAnsi="宋体" w:eastAsia="宋体" w:cs="宋体"/>
          <w:sz w:val="24"/>
          <w:szCs w:val="24"/>
        </w:rPr>
      </w:pPr>
      <w:r>
        <w:rPr>
          <w:rFonts w:ascii="Times New Roman" w:hAnsi="Times New Roman" w:eastAsia="Times New Roman" w:cs="Times New Roman"/>
          <w:sz w:val="24"/>
          <w:szCs w:val="24"/>
        </w:rPr>
        <w:t xml:space="preserve">4.5.4    </w:t>
      </w:r>
      <w:r>
        <w:rPr>
          <w:rFonts w:ascii="宋体" w:hAnsi="宋体" w:eastAsia="宋体" w:cs="宋体"/>
          <w:sz w:val="24"/>
          <w:szCs w:val="24"/>
        </w:rPr>
        <w:t>层门锁钩必须动作灵活，在证实锁紧的电气安全装置动作之前，锁</w:t>
      </w:r>
      <w:r>
        <w:rPr>
          <w:rFonts w:ascii="宋体" w:hAnsi="宋体" w:eastAsia="宋体" w:cs="宋体"/>
          <w:spacing w:val="-1"/>
          <w:sz w:val="24"/>
          <w:szCs w:val="24"/>
        </w:rPr>
        <w:t>紧元件的最</w:t>
      </w:r>
      <w:r>
        <w:rPr>
          <w:rFonts w:ascii="宋体" w:hAnsi="宋体" w:eastAsia="宋体" w:cs="宋体"/>
          <w:sz w:val="24"/>
          <w:szCs w:val="24"/>
        </w:rPr>
        <w:t xml:space="preserve"> </w:t>
      </w:r>
      <w:r>
        <w:rPr>
          <w:rFonts w:ascii="宋体" w:hAnsi="宋体" w:eastAsia="宋体" w:cs="宋体"/>
          <w:spacing w:val="-3"/>
          <w:sz w:val="24"/>
          <w:szCs w:val="24"/>
        </w:rPr>
        <w:t>小啮合长度为</w:t>
      </w:r>
      <w:r>
        <w:rPr>
          <w:rFonts w:ascii="宋体" w:hAnsi="宋体" w:eastAsia="宋体" w:cs="宋体"/>
          <w:spacing w:val="-47"/>
          <w:sz w:val="24"/>
          <w:szCs w:val="24"/>
        </w:rPr>
        <w:t xml:space="preserve"> </w:t>
      </w:r>
      <w:r>
        <w:rPr>
          <w:rFonts w:ascii="Times New Roman" w:hAnsi="Times New Roman" w:eastAsia="Times New Roman" w:cs="Times New Roman"/>
          <w:spacing w:val="-3"/>
          <w:sz w:val="24"/>
          <w:szCs w:val="24"/>
        </w:rPr>
        <w:t>7mm</w:t>
      </w:r>
      <w:r>
        <w:rPr>
          <w:rFonts w:ascii="宋体" w:hAnsi="宋体" w:eastAsia="宋体" w:cs="宋体"/>
          <w:spacing w:val="-3"/>
          <w:sz w:val="24"/>
          <w:szCs w:val="24"/>
        </w:rPr>
        <w:t>。</w:t>
      </w:r>
    </w:p>
    <w:p w14:paraId="162FF43C">
      <w:pPr>
        <w:spacing w:before="153"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4.8.1    </w:t>
      </w:r>
      <w:r>
        <w:rPr>
          <w:rFonts w:ascii="宋体" w:hAnsi="宋体" w:eastAsia="宋体" w:cs="宋体"/>
          <w:spacing w:val="-1"/>
          <w:sz w:val="24"/>
          <w:szCs w:val="24"/>
        </w:rPr>
        <w:t>限速器动作速度整定封记必须完好，且无</w:t>
      </w:r>
      <w:r>
        <w:rPr>
          <w:rFonts w:ascii="宋体" w:hAnsi="宋体" w:eastAsia="宋体" w:cs="宋体"/>
          <w:spacing w:val="-2"/>
          <w:sz w:val="24"/>
          <w:szCs w:val="24"/>
        </w:rPr>
        <w:t>拆动痕迹。</w:t>
      </w:r>
    </w:p>
    <w:p w14:paraId="2602E3DE">
      <w:pPr>
        <w:spacing w:before="154"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4.8.2    </w:t>
      </w:r>
      <w:r>
        <w:rPr>
          <w:rFonts w:ascii="宋体" w:hAnsi="宋体" w:eastAsia="宋体" w:cs="宋体"/>
          <w:spacing w:val="-1"/>
          <w:sz w:val="24"/>
          <w:szCs w:val="24"/>
        </w:rPr>
        <w:t>当安全钳可调节时，整定封记应完好，且无</w:t>
      </w:r>
      <w:r>
        <w:rPr>
          <w:rFonts w:ascii="宋体" w:hAnsi="宋体" w:eastAsia="宋体" w:cs="宋体"/>
          <w:spacing w:val="-2"/>
          <w:sz w:val="24"/>
          <w:szCs w:val="24"/>
        </w:rPr>
        <w:t>拆动痕迹。</w:t>
      </w:r>
    </w:p>
    <w:p w14:paraId="092C9455">
      <w:pPr>
        <w:spacing w:line="220" w:lineRule="auto"/>
        <w:rPr>
          <w:rFonts w:ascii="宋体" w:hAnsi="宋体" w:eastAsia="宋体" w:cs="宋体"/>
          <w:sz w:val="24"/>
          <w:szCs w:val="24"/>
        </w:rPr>
        <w:sectPr>
          <w:footerReference r:id="rId52" w:type="default"/>
          <w:pgSz w:w="11907" w:h="16839"/>
          <w:pgMar w:top="400" w:right="1422" w:bottom="743" w:left="1420" w:header="0" w:footer="582" w:gutter="0"/>
          <w:cols w:space="720" w:num="1"/>
        </w:sectPr>
      </w:pPr>
    </w:p>
    <w:p w14:paraId="4A49124F">
      <w:pPr>
        <w:pStyle w:val="2"/>
        <w:spacing w:line="303" w:lineRule="auto"/>
      </w:pPr>
    </w:p>
    <w:p w14:paraId="5016792A">
      <w:pPr>
        <w:pStyle w:val="2"/>
        <w:spacing w:line="303" w:lineRule="auto"/>
      </w:pPr>
    </w:p>
    <w:p w14:paraId="5BE70A01">
      <w:pPr>
        <w:pStyle w:val="2"/>
        <w:spacing w:line="303" w:lineRule="auto"/>
      </w:pPr>
    </w:p>
    <w:p w14:paraId="525E391C">
      <w:pPr>
        <w:spacing w:before="78" w:line="220"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4.9.1    </w:t>
      </w:r>
      <w:r>
        <w:rPr>
          <w:rFonts w:ascii="宋体" w:hAnsi="宋体" w:eastAsia="宋体" w:cs="宋体"/>
          <w:spacing w:val="-1"/>
          <w:sz w:val="24"/>
          <w:szCs w:val="24"/>
        </w:rPr>
        <w:t>绳头组合必须安全可靠，且每个绳头组合必须安装防螺母松动和脱落装置。</w:t>
      </w:r>
    </w:p>
    <w:p w14:paraId="0A831EA6">
      <w:pPr>
        <w:spacing w:before="154" w:line="220" w:lineRule="auto"/>
        <w:rPr>
          <w:rFonts w:ascii="宋体" w:hAnsi="宋体" w:eastAsia="宋体" w:cs="宋体"/>
          <w:sz w:val="24"/>
          <w:szCs w:val="24"/>
        </w:rPr>
      </w:pPr>
      <w:r>
        <w:rPr>
          <w:rFonts w:ascii="Times New Roman" w:hAnsi="Times New Roman" w:eastAsia="Times New Roman" w:cs="Times New Roman"/>
          <w:spacing w:val="-5"/>
          <w:sz w:val="24"/>
          <w:szCs w:val="24"/>
        </w:rPr>
        <w:t>4.10.1</w:t>
      </w:r>
      <w:r>
        <w:rPr>
          <w:rFonts w:ascii="Times New Roman" w:hAnsi="Times New Roman" w:eastAsia="Times New Roman" w:cs="Times New Roman"/>
          <w:spacing w:val="12"/>
          <w:sz w:val="24"/>
          <w:szCs w:val="24"/>
        </w:rPr>
        <w:t xml:space="preserve">    </w:t>
      </w:r>
      <w:r>
        <w:rPr>
          <w:rFonts w:ascii="宋体" w:hAnsi="宋体" w:eastAsia="宋体" w:cs="宋体"/>
          <w:spacing w:val="-5"/>
          <w:sz w:val="24"/>
          <w:szCs w:val="24"/>
        </w:rPr>
        <w:t>电气设备接地必须符合下列规定：</w:t>
      </w:r>
    </w:p>
    <w:p w14:paraId="639A1A8A">
      <w:pPr>
        <w:spacing w:before="153" w:line="220" w:lineRule="auto"/>
        <w:ind w:left="50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所有电气设备及导管、线槽的外露可导电部分均必须可靠接地（</w:t>
      </w:r>
      <w:r>
        <w:rPr>
          <w:rFonts w:ascii="Times New Roman" w:hAnsi="Times New Roman" w:eastAsia="Times New Roman" w:cs="Times New Roman"/>
          <w:spacing w:val="-1"/>
          <w:sz w:val="24"/>
          <w:szCs w:val="24"/>
        </w:rPr>
        <w:t>PE</w:t>
      </w:r>
      <w:r>
        <w:rPr>
          <w:rFonts w:ascii="宋体" w:hAnsi="宋体" w:eastAsia="宋体" w:cs="宋体"/>
          <w:spacing w:val="-13"/>
          <w:sz w:val="24"/>
          <w:szCs w:val="24"/>
        </w:rPr>
        <w:t>）；</w:t>
      </w:r>
    </w:p>
    <w:p w14:paraId="598434AF">
      <w:pPr>
        <w:spacing w:before="154" w:line="219" w:lineRule="auto"/>
        <w:ind w:left="481"/>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接地支线应分别直接接至接地干线接线柱上，不得互相连</w:t>
      </w:r>
      <w:r>
        <w:rPr>
          <w:rFonts w:ascii="宋体" w:hAnsi="宋体" w:eastAsia="宋体" w:cs="宋体"/>
          <w:spacing w:val="-2"/>
          <w:sz w:val="24"/>
          <w:szCs w:val="24"/>
        </w:rPr>
        <w:t>接后再接地。</w:t>
      </w:r>
    </w:p>
    <w:p w14:paraId="50DEC8B6">
      <w:pPr>
        <w:spacing w:before="155" w:line="220" w:lineRule="auto"/>
        <w:rPr>
          <w:rFonts w:ascii="宋体" w:hAnsi="宋体" w:eastAsia="宋体" w:cs="宋体"/>
          <w:sz w:val="24"/>
          <w:szCs w:val="24"/>
        </w:rPr>
      </w:pPr>
      <w:r>
        <w:rPr>
          <w:rFonts w:ascii="Times New Roman" w:hAnsi="Times New Roman" w:eastAsia="Times New Roman" w:cs="Times New Roman"/>
          <w:spacing w:val="-3"/>
          <w:sz w:val="24"/>
          <w:szCs w:val="24"/>
        </w:rPr>
        <w:t xml:space="preserve">4.11.3    </w:t>
      </w:r>
      <w:r>
        <w:rPr>
          <w:rFonts w:ascii="宋体" w:hAnsi="宋体" w:eastAsia="宋体" w:cs="宋体"/>
          <w:spacing w:val="-3"/>
          <w:sz w:val="24"/>
          <w:szCs w:val="24"/>
        </w:rPr>
        <w:t>层门与轿门的试验必须符合下列规定：</w:t>
      </w:r>
    </w:p>
    <w:p w14:paraId="4CB96077">
      <w:pPr>
        <w:spacing w:before="153" w:line="219" w:lineRule="auto"/>
        <w:ind w:left="504"/>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每层层门必须能够用三角钥匙正常开启；</w:t>
      </w:r>
    </w:p>
    <w:p w14:paraId="53BB171F">
      <w:pPr>
        <w:spacing w:before="155" w:line="280" w:lineRule="auto"/>
        <w:ind w:left="10" w:right="149" w:firstLine="470"/>
        <w:rPr>
          <w:rFonts w:ascii="宋体" w:hAnsi="宋体" w:eastAsia="宋体" w:cs="宋体"/>
          <w:sz w:val="24"/>
          <w:szCs w:val="24"/>
        </w:rPr>
      </w:pPr>
      <w:r>
        <w:rPr>
          <w:rFonts w:ascii="Times New Roman" w:hAnsi="Times New Roman" w:eastAsia="Times New Roman" w:cs="Times New Roman"/>
          <w:sz w:val="24"/>
          <w:szCs w:val="24"/>
        </w:rPr>
        <w:t xml:space="preserve">2  </w:t>
      </w:r>
      <w:r>
        <w:rPr>
          <w:rFonts w:ascii="宋体" w:hAnsi="宋体" w:eastAsia="宋体" w:cs="宋体"/>
          <w:sz w:val="24"/>
          <w:szCs w:val="24"/>
        </w:rPr>
        <w:t>当一个层门或轿门（在多扇门中任何一扇门）非正常打开时，</w:t>
      </w:r>
      <w:r>
        <w:rPr>
          <w:rFonts w:ascii="宋体" w:hAnsi="宋体" w:eastAsia="宋体" w:cs="宋体"/>
          <w:spacing w:val="-1"/>
          <w:sz w:val="24"/>
          <w:szCs w:val="24"/>
        </w:rPr>
        <w:t>电梯严禁启动或</w:t>
      </w:r>
      <w:r>
        <w:rPr>
          <w:rFonts w:ascii="宋体" w:hAnsi="宋体" w:eastAsia="宋体" w:cs="宋体"/>
          <w:sz w:val="24"/>
          <w:szCs w:val="24"/>
        </w:rPr>
        <w:t xml:space="preserve"> </w:t>
      </w:r>
      <w:r>
        <w:rPr>
          <w:rFonts w:ascii="宋体" w:hAnsi="宋体" w:eastAsia="宋体" w:cs="宋体"/>
          <w:spacing w:val="-8"/>
          <w:sz w:val="24"/>
          <w:szCs w:val="24"/>
        </w:rPr>
        <w:t>继续运行。</w:t>
      </w:r>
    </w:p>
    <w:p w14:paraId="387E074C">
      <w:pPr>
        <w:spacing w:before="152" w:line="220" w:lineRule="auto"/>
        <w:ind w:left="6"/>
        <w:rPr>
          <w:rFonts w:ascii="宋体" w:hAnsi="宋体" w:eastAsia="宋体" w:cs="宋体"/>
          <w:sz w:val="24"/>
          <w:szCs w:val="24"/>
        </w:rPr>
      </w:pPr>
      <w:r>
        <w:rPr>
          <w:rFonts w:ascii="Times New Roman" w:hAnsi="Times New Roman" w:eastAsia="Times New Roman" w:cs="Times New Roman"/>
          <w:sz w:val="24"/>
          <w:szCs w:val="24"/>
        </w:rPr>
        <w:t xml:space="preserve">6.2.2    </w:t>
      </w:r>
      <w:r>
        <w:rPr>
          <w:rFonts w:ascii="宋体" w:hAnsi="宋体" w:eastAsia="宋体" w:cs="宋体"/>
          <w:sz w:val="24"/>
          <w:szCs w:val="24"/>
        </w:rPr>
        <w:t>在安装之前，井道周围必须设有保证安全的栏</w:t>
      </w:r>
      <w:r>
        <w:rPr>
          <w:rFonts w:ascii="宋体" w:hAnsi="宋体" w:eastAsia="宋体" w:cs="宋体"/>
          <w:spacing w:val="-1"/>
          <w:sz w:val="24"/>
          <w:szCs w:val="24"/>
        </w:rPr>
        <w:t>杆或屏障，其高度严禁小于</w:t>
      </w:r>
    </w:p>
    <w:p w14:paraId="4B7B1FF5">
      <w:pPr>
        <w:spacing w:before="199" w:line="178" w:lineRule="auto"/>
        <w:ind w:left="24"/>
        <w:rPr>
          <w:rFonts w:ascii="宋体" w:hAnsi="宋体" w:eastAsia="宋体" w:cs="宋体"/>
          <w:sz w:val="24"/>
          <w:szCs w:val="24"/>
        </w:rPr>
      </w:pPr>
      <w:r>
        <w:rPr>
          <w:rFonts w:ascii="Times New Roman" w:hAnsi="Times New Roman" w:eastAsia="Times New Roman" w:cs="Times New Roman"/>
          <w:spacing w:val="-6"/>
          <w:sz w:val="24"/>
          <w:szCs w:val="24"/>
        </w:rPr>
        <w:t>1.2m</w:t>
      </w:r>
      <w:r>
        <w:rPr>
          <w:rFonts w:ascii="宋体" w:hAnsi="宋体" w:eastAsia="宋体" w:cs="宋体"/>
          <w:spacing w:val="-6"/>
          <w:sz w:val="24"/>
          <w:szCs w:val="24"/>
        </w:rPr>
        <w:t>。</w:t>
      </w:r>
    </w:p>
    <w:p w14:paraId="64A2166B">
      <w:pPr>
        <w:spacing w:before="211" w:line="327" w:lineRule="auto"/>
        <w:ind w:left="445" w:right="335" w:hanging="439"/>
        <w:outlineLvl w:val="1"/>
        <w:rPr>
          <w:rFonts w:ascii="宋体" w:hAnsi="宋体" w:eastAsia="宋体" w:cs="宋体"/>
          <w:sz w:val="27"/>
          <w:szCs w:val="27"/>
        </w:rPr>
      </w:pPr>
      <w:bookmarkStart w:id="68" w:name="bookmark115"/>
      <w:bookmarkEnd w:id="68"/>
      <w:r>
        <w:rPr>
          <w:rFonts w:ascii="Times New Roman" w:hAnsi="Times New Roman" w:eastAsia="Times New Roman" w:cs="Times New Roman"/>
          <w:b/>
          <w:bCs/>
          <w:spacing w:val="6"/>
          <w:sz w:val="27"/>
          <w:szCs w:val="27"/>
        </w:rPr>
        <w:t>6.</w:t>
      </w:r>
      <w:r>
        <w:rPr>
          <w:rFonts w:ascii="Times New Roman" w:hAnsi="Times New Roman" w:eastAsia="Times New Roman" w:cs="Times New Roman"/>
          <w:b/>
          <w:bCs/>
          <w:spacing w:val="-41"/>
          <w:sz w:val="27"/>
          <w:szCs w:val="27"/>
        </w:rPr>
        <w:t xml:space="preserve"> </w:t>
      </w:r>
      <w:r>
        <w:rPr>
          <w:rFonts w:ascii="宋体" w:hAnsi="宋体" w:eastAsia="宋体" w:cs="宋体"/>
          <w:b/>
          <w:bCs/>
          <w:spacing w:val="6"/>
          <w:sz w:val="27"/>
          <w:szCs w:val="27"/>
        </w:rPr>
        <w:t>《建筑物防雷工程施工与质量验收规范》——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50601-2</w:t>
      </w:r>
      <w:r>
        <w:rPr>
          <w:rFonts w:ascii="Times New Roman" w:hAnsi="Times New Roman" w:eastAsia="Times New Roman" w:cs="Times New Roman"/>
          <w:b/>
          <w:bCs/>
          <w:spacing w:val="5"/>
          <w:sz w:val="27"/>
          <w:szCs w:val="27"/>
        </w:rPr>
        <w:t>010</w:t>
      </w:r>
      <w:r>
        <w:rPr>
          <w:rFonts w:ascii="宋体" w:hAnsi="宋体" w:eastAsia="宋体" w:cs="宋体"/>
          <w:b/>
          <w:bCs/>
          <w:spacing w:val="5"/>
          <w:sz w:val="27"/>
          <w:szCs w:val="27"/>
        </w:rPr>
        <w:t>【强条已</w:t>
      </w:r>
      <w:r>
        <w:rPr>
          <w:rFonts w:ascii="宋体" w:hAnsi="宋体" w:eastAsia="宋体" w:cs="宋体"/>
          <w:sz w:val="27"/>
          <w:szCs w:val="27"/>
        </w:rPr>
        <w:t xml:space="preserve"> </w:t>
      </w:r>
      <w:bookmarkStart w:id="69" w:name="bookmark115"/>
      <w:bookmarkEnd w:id="69"/>
      <w:r>
        <w:rPr>
          <w:rFonts w:ascii="宋体" w:hAnsi="宋体" w:eastAsia="宋体" w:cs="宋体"/>
          <w:b/>
          <w:bCs/>
          <w:spacing w:val="-2"/>
          <w:sz w:val="27"/>
          <w:szCs w:val="27"/>
        </w:rPr>
        <w:t>废】</w:t>
      </w:r>
    </w:p>
    <w:p w14:paraId="0824B159">
      <w:pPr>
        <w:spacing w:before="284"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GB55024-2022 </w:t>
      </w:r>
      <w:r>
        <w:rPr>
          <w:rFonts w:ascii="宋体" w:hAnsi="宋体" w:eastAsia="宋体" w:cs="宋体"/>
          <w:b/>
          <w:bCs/>
          <w:color w:val="0563C1"/>
          <w:spacing w:val="-2"/>
          <w:sz w:val="24"/>
          <w:szCs w:val="24"/>
          <w:u w:val="single" w:color="auto"/>
        </w:rPr>
        <w:t>建筑电气与智能化通用规范</w:t>
      </w:r>
      <w:r>
        <w:rPr>
          <w:rFonts w:ascii="宋体" w:hAnsi="宋体" w:eastAsia="宋体" w:cs="宋体"/>
          <w:b/>
          <w:bCs/>
          <w:color w:val="EE0000"/>
          <w:spacing w:val="-2"/>
          <w:sz w:val="24"/>
          <w:szCs w:val="24"/>
        </w:rPr>
        <w:t>》替代</w:t>
      </w:r>
    </w:p>
    <w:p w14:paraId="73179DD6">
      <w:pPr>
        <w:spacing w:before="154" w:line="279" w:lineRule="auto"/>
        <w:ind w:left="6" w:right="149"/>
        <w:rPr>
          <w:rFonts w:ascii="宋体" w:hAnsi="宋体" w:eastAsia="宋体" w:cs="宋体"/>
          <w:sz w:val="24"/>
          <w:szCs w:val="24"/>
        </w:rPr>
      </w:pPr>
      <w:r>
        <w:rPr>
          <w:rFonts w:ascii="Times New Roman" w:hAnsi="Times New Roman" w:eastAsia="Times New Roman" w:cs="Times New Roman"/>
          <w:strike/>
          <w:sz w:val="24"/>
          <w:szCs w:val="24"/>
        </w:rPr>
        <w:t xml:space="preserve">3.2.3    </w:t>
      </w:r>
      <w:r>
        <w:rPr>
          <w:rFonts w:ascii="宋体" w:hAnsi="宋体" w:eastAsia="宋体" w:cs="宋体"/>
          <w:strike/>
          <w:sz w:val="24"/>
          <w:szCs w:val="24"/>
        </w:rPr>
        <w:t>除设计要求外，兼做引下线的承力钢结构构件、混凝</w:t>
      </w:r>
      <w:r>
        <w:rPr>
          <w:rFonts w:ascii="宋体" w:hAnsi="宋体" w:eastAsia="宋体" w:cs="宋体"/>
          <w:strike/>
          <w:spacing w:val="-1"/>
          <w:sz w:val="24"/>
          <w:szCs w:val="24"/>
        </w:rPr>
        <w:t>土梁、柱内钢筋与钢筋的</w:t>
      </w:r>
      <w:r>
        <w:rPr>
          <w:rFonts w:ascii="宋体" w:hAnsi="宋体" w:eastAsia="宋体" w:cs="宋体"/>
          <w:sz w:val="24"/>
          <w:szCs w:val="24"/>
        </w:rPr>
        <w:t xml:space="preserve"> </w:t>
      </w:r>
      <w:r>
        <w:rPr>
          <w:rFonts w:ascii="宋体" w:hAnsi="宋体" w:eastAsia="宋体" w:cs="宋体"/>
          <w:strike/>
          <w:sz w:val="24"/>
          <w:szCs w:val="24"/>
        </w:rPr>
        <w:t>连接，应采用土建施工的绑扎法或螺丝扣的机械</w:t>
      </w:r>
      <w:r>
        <w:rPr>
          <w:rFonts w:ascii="宋体" w:hAnsi="宋体" w:eastAsia="宋体" w:cs="宋体"/>
          <w:strike/>
          <w:spacing w:val="-1"/>
          <w:sz w:val="24"/>
          <w:szCs w:val="24"/>
        </w:rPr>
        <w:t>连接，严禁热加工连接。</w:t>
      </w:r>
    </w:p>
    <w:p w14:paraId="51FC3AE8">
      <w:pPr>
        <w:spacing w:before="155" w:line="220"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5.1.1    </w:t>
      </w:r>
      <w:r>
        <w:rPr>
          <w:rFonts w:ascii="宋体" w:hAnsi="宋体" w:eastAsia="宋体" w:cs="宋体"/>
          <w:strike/>
          <w:spacing w:val="-1"/>
          <w:sz w:val="24"/>
          <w:szCs w:val="24"/>
        </w:rPr>
        <w:t>主控项目应符合下列规定：</w:t>
      </w:r>
    </w:p>
    <w:p w14:paraId="37A655D0">
      <w:pPr>
        <w:spacing w:before="153" w:line="339" w:lineRule="auto"/>
        <w:ind w:left="6" w:right="149" w:firstLine="479"/>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建筑物外的引下线敷设在人员可停留或经过的区域时</w:t>
      </w:r>
      <w:r>
        <w:rPr>
          <w:rFonts w:ascii="宋体" w:hAnsi="宋体" w:eastAsia="宋体" w:cs="宋体"/>
          <w:strike/>
          <w:spacing w:val="-1"/>
          <w:sz w:val="24"/>
          <w:szCs w:val="24"/>
        </w:rPr>
        <w:t>，应采用下列</w:t>
      </w:r>
      <w:r>
        <w:rPr>
          <w:rFonts w:ascii="宋体" w:hAnsi="宋体" w:eastAsia="宋体" w:cs="宋体"/>
          <w:spacing w:val="-1"/>
          <w:sz w:val="24"/>
          <w:szCs w:val="24"/>
        </w:rPr>
        <w:t>一</w:t>
      </w:r>
      <w:r>
        <w:rPr>
          <w:rFonts w:ascii="宋体" w:hAnsi="宋体" w:eastAsia="宋体" w:cs="宋体"/>
          <w:strike/>
          <w:spacing w:val="-1"/>
          <w:sz w:val="24"/>
          <w:szCs w:val="24"/>
        </w:rPr>
        <w:t>种或多种</w:t>
      </w:r>
      <w:r>
        <w:rPr>
          <w:rFonts w:ascii="宋体" w:hAnsi="宋体" w:eastAsia="宋体" w:cs="宋体"/>
          <w:sz w:val="24"/>
          <w:szCs w:val="24"/>
        </w:rPr>
        <w:t xml:space="preserve"> </w:t>
      </w:r>
      <w:r>
        <w:rPr>
          <w:rFonts w:ascii="宋体" w:hAnsi="宋体" w:eastAsia="宋体" w:cs="宋体"/>
          <w:strike/>
          <w:spacing w:val="-1"/>
          <w:sz w:val="24"/>
          <w:szCs w:val="24"/>
        </w:rPr>
        <w:t>方法，防止接触电压和旁侧闪络电压对人员造成伤害：</w:t>
      </w:r>
    </w:p>
    <w:p w14:paraId="554B0E29">
      <w:pPr>
        <w:spacing w:before="2" w:line="278" w:lineRule="auto"/>
        <w:ind w:left="29" w:right="61" w:firstLine="447"/>
        <w:rPr>
          <w:rFonts w:ascii="宋体" w:hAnsi="宋体" w:eastAsia="宋体" w:cs="宋体"/>
          <w:sz w:val="24"/>
          <w:szCs w:val="24"/>
        </w:rPr>
      </w:pPr>
      <w:r>
        <w:rPr>
          <w:rFonts w:ascii="宋体" w:hAnsi="宋体" w:eastAsia="宋体" w:cs="宋体"/>
          <w:position w:val="-3"/>
          <w:sz w:val="24"/>
          <w:szCs w:val="24"/>
        </w:rPr>
        <w:drawing>
          <wp:inline distT="0" distB="0" distL="0" distR="0">
            <wp:extent cx="228600" cy="15240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85"/>
                    <a:stretch>
                      <a:fillRect/>
                    </a:stretch>
                  </pic:blipFill>
                  <pic:spPr>
                    <a:xfrm>
                      <a:off x="0" y="0"/>
                      <a:ext cx="228600" cy="152400"/>
                    </a:xfrm>
                    <a:prstGeom prst="rect">
                      <a:avLst/>
                    </a:prstGeom>
                  </pic:spPr>
                </pic:pic>
              </a:graphicData>
            </a:graphic>
          </wp:inline>
        </w:drawing>
      </w:r>
      <w:r>
        <w:rPr>
          <w:rFonts w:ascii="宋体" w:hAnsi="宋体" w:eastAsia="宋体" w:cs="宋体"/>
          <w:strike/>
          <w:spacing w:val="-32"/>
          <w:sz w:val="24"/>
          <w:szCs w:val="24"/>
        </w:rPr>
        <w:t xml:space="preserve"> </w:t>
      </w:r>
      <w:r>
        <w:rPr>
          <w:rFonts w:ascii="宋体" w:hAnsi="宋体" w:eastAsia="宋体" w:cs="宋体"/>
          <w:strike/>
          <w:spacing w:val="-2"/>
          <w:sz w:val="24"/>
          <w:szCs w:val="24"/>
        </w:rPr>
        <w:t xml:space="preserve">外露引下线在高 </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7m</w:t>
      </w:r>
      <w:r>
        <w:rPr>
          <w:rFonts w:ascii="Times New Roman" w:hAnsi="Times New Roman" w:eastAsia="Times New Roman" w:cs="Times New Roman"/>
          <w:strike/>
          <w:spacing w:val="36"/>
          <w:w w:val="101"/>
          <w:sz w:val="24"/>
          <w:szCs w:val="24"/>
        </w:rPr>
        <w:t xml:space="preserve"> </w:t>
      </w:r>
      <w:r>
        <w:rPr>
          <w:rFonts w:ascii="宋体" w:hAnsi="宋体" w:eastAsia="宋体" w:cs="宋体"/>
          <w:strike/>
          <w:spacing w:val="-2"/>
          <w:sz w:val="24"/>
          <w:szCs w:val="24"/>
        </w:rPr>
        <w:t xml:space="preserve">以下部分应穿不小于 </w:t>
      </w:r>
      <w:r>
        <w:rPr>
          <w:rFonts w:ascii="Times New Roman" w:hAnsi="Times New Roman" w:eastAsia="Times New Roman" w:cs="Times New Roman"/>
          <w:strike/>
          <w:spacing w:val="-2"/>
          <w:sz w:val="24"/>
          <w:szCs w:val="24"/>
        </w:rPr>
        <w:t>3mm</w:t>
      </w:r>
      <w:r>
        <w:rPr>
          <w:rFonts w:ascii="Times New Roman" w:hAnsi="Times New Roman" w:eastAsia="Times New Roman" w:cs="Times New Roman"/>
          <w:strike/>
          <w:spacing w:val="15"/>
          <w:w w:val="101"/>
          <w:sz w:val="24"/>
          <w:szCs w:val="24"/>
        </w:rPr>
        <w:t xml:space="preserve"> </w:t>
      </w:r>
      <w:r>
        <w:rPr>
          <w:rFonts w:ascii="宋体" w:hAnsi="宋体" w:eastAsia="宋体" w:cs="宋体"/>
          <w:strike/>
          <w:spacing w:val="-2"/>
          <w:sz w:val="24"/>
          <w:szCs w:val="24"/>
        </w:rPr>
        <w:t>厚的交联聚乙烯管，交联聚</w:t>
      </w:r>
      <w:r>
        <w:rPr>
          <w:rFonts w:ascii="宋体" w:hAnsi="宋体" w:eastAsia="宋体" w:cs="宋体"/>
          <w:sz w:val="24"/>
          <w:szCs w:val="24"/>
        </w:rPr>
        <w:t xml:space="preserve"> </w:t>
      </w:r>
      <w:r>
        <w:rPr>
          <w:rFonts w:ascii="宋体" w:hAnsi="宋体" w:eastAsia="宋体" w:cs="宋体"/>
          <w:strike/>
          <w:spacing w:val="-4"/>
          <w:sz w:val="24"/>
          <w:szCs w:val="24"/>
        </w:rPr>
        <w:t>乙烯管应能耐受</w:t>
      </w:r>
      <w:r>
        <w:rPr>
          <w:rFonts w:ascii="宋体" w:hAnsi="宋体" w:eastAsia="宋体" w:cs="宋体"/>
          <w:strike/>
          <w:spacing w:val="36"/>
          <w:sz w:val="24"/>
          <w:szCs w:val="24"/>
        </w:rPr>
        <w:t xml:space="preserve"> </w:t>
      </w:r>
      <w:r>
        <w:rPr>
          <w:rFonts w:ascii="Times New Roman" w:hAnsi="Times New Roman" w:eastAsia="Times New Roman" w:cs="Times New Roman"/>
          <w:strike/>
          <w:spacing w:val="-4"/>
          <w:sz w:val="24"/>
          <w:szCs w:val="24"/>
        </w:rPr>
        <w:t xml:space="preserve">100kV </w:t>
      </w:r>
      <w:r>
        <w:rPr>
          <w:rFonts w:ascii="宋体" w:hAnsi="宋体" w:eastAsia="宋体" w:cs="宋体"/>
          <w:strike/>
          <w:spacing w:val="-4"/>
          <w:sz w:val="24"/>
          <w:szCs w:val="24"/>
        </w:rPr>
        <w:t>冲击电压（</w:t>
      </w:r>
      <w:r>
        <w:rPr>
          <w:rFonts w:ascii="Times New Roman" w:hAnsi="Times New Roman" w:eastAsia="Times New Roman" w:cs="Times New Roman"/>
          <w:strike/>
          <w:spacing w:val="-4"/>
          <w:sz w:val="24"/>
          <w:szCs w:val="24"/>
        </w:rPr>
        <w:t>1</w:t>
      </w:r>
      <w:r>
        <w:rPr>
          <w:rFonts w:ascii="Times New Roman" w:hAnsi="Times New Roman" w:eastAsia="Times New Roman" w:cs="Times New Roman"/>
          <w:spacing w:val="-4"/>
          <w:sz w:val="24"/>
          <w:szCs w:val="24"/>
        </w:rPr>
        <w:t>.</w:t>
      </w:r>
      <w:r>
        <w:rPr>
          <w:rFonts w:ascii="Times New Roman" w:hAnsi="Times New Roman" w:eastAsia="Times New Roman" w:cs="Times New Roman"/>
          <w:strike/>
          <w:spacing w:val="-4"/>
          <w:sz w:val="24"/>
          <w:szCs w:val="24"/>
        </w:rPr>
        <w:t xml:space="preserve">2/50 </w:t>
      </w:r>
      <w:r>
        <w:rPr>
          <w:rFonts w:ascii="宋体" w:hAnsi="宋体" w:eastAsia="宋体" w:cs="宋体"/>
          <w:strike/>
          <w:spacing w:val="-4"/>
          <w:sz w:val="24"/>
          <w:szCs w:val="24"/>
        </w:rPr>
        <w:t>μ</w:t>
      </w:r>
      <w:r>
        <w:rPr>
          <w:rFonts w:ascii="Times New Roman" w:hAnsi="Times New Roman" w:eastAsia="Times New Roman" w:cs="Times New Roman"/>
          <w:strike/>
          <w:spacing w:val="-4"/>
          <w:sz w:val="24"/>
          <w:szCs w:val="24"/>
        </w:rPr>
        <w:t xml:space="preserve">s </w:t>
      </w:r>
      <w:r>
        <w:rPr>
          <w:rFonts w:ascii="宋体" w:hAnsi="宋体" w:eastAsia="宋体" w:cs="宋体"/>
          <w:strike/>
          <w:spacing w:val="-4"/>
          <w:sz w:val="24"/>
          <w:szCs w:val="24"/>
        </w:rPr>
        <w:t>波形）。</w:t>
      </w:r>
    </w:p>
    <w:p w14:paraId="301119E3">
      <w:pPr>
        <w:spacing w:before="154" w:line="220" w:lineRule="auto"/>
        <w:jc w:val="right"/>
        <w:rPr>
          <w:rFonts w:ascii="宋体" w:hAnsi="宋体" w:eastAsia="宋体" w:cs="宋体"/>
          <w:sz w:val="24"/>
          <w:szCs w:val="24"/>
        </w:rPr>
      </w:pPr>
      <w:r>
        <w:rPr>
          <w:rFonts w:ascii="Times New Roman" w:hAnsi="Times New Roman" w:eastAsia="Times New Roman" w:cs="Times New Roman"/>
          <w:strike/>
          <w:spacing w:val="-2"/>
          <w:sz w:val="24"/>
          <w:szCs w:val="24"/>
        </w:rPr>
        <w:t>2</w:t>
      </w:r>
      <w:r>
        <w:rPr>
          <w:rFonts w:ascii="Times New Roman" w:hAnsi="Times New Roman" w:eastAsia="Times New Roman" w:cs="Times New Roman"/>
          <w:strike/>
          <w:spacing w:val="-25"/>
          <w:sz w:val="24"/>
          <w:szCs w:val="24"/>
        </w:rPr>
        <w:t xml:space="preserve"> </w:t>
      </w:r>
      <w:r>
        <w:rPr>
          <w:rFonts w:ascii="宋体" w:hAnsi="宋体" w:eastAsia="宋体" w:cs="宋体"/>
          <w:strike/>
          <w:spacing w:val="-2"/>
          <w:sz w:val="24"/>
          <w:szCs w:val="24"/>
        </w:rPr>
        <w:t>） 应设立阻止人员进入的护拦或警示牌。护拦与引下线水</w:t>
      </w:r>
      <w:r>
        <w:rPr>
          <w:rFonts w:ascii="宋体" w:hAnsi="宋体" w:eastAsia="宋体" w:cs="宋体"/>
          <w:strike/>
          <w:spacing w:val="-3"/>
          <w:sz w:val="24"/>
          <w:szCs w:val="24"/>
        </w:rPr>
        <w:t>平距离不应小于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3"/>
          <w:sz w:val="24"/>
          <w:szCs w:val="24"/>
        </w:rPr>
        <w:t>3m</w:t>
      </w:r>
      <w:r>
        <w:rPr>
          <w:rFonts w:ascii="Times New Roman" w:hAnsi="Times New Roman" w:eastAsia="Times New Roman" w:cs="Times New Roman"/>
          <w:strike/>
          <w:spacing w:val="-27"/>
          <w:sz w:val="24"/>
          <w:szCs w:val="24"/>
        </w:rPr>
        <w:t xml:space="preserve"> </w:t>
      </w:r>
      <w:r>
        <w:rPr>
          <w:rFonts w:ascii="宋体" w:hAnsi="宋体" w:eastAsia="宋体" w:cs="宋体"/>
          <w:strike/>
          <w:spacing w:val="-3"/>
          <w:sz w:val="24"/>
          <w:szCs w:val="24"/>
        </w:rPr>
        <w:t>。</w:t>
      </w:r>
    </w:p>
    <w:p w14:paraId="4FB2369B">
      <w:pPr>
        <w:spacing w:before="155" w:line="219" w:lineRule="auto"/>
        <w:ind w:left="486"/>
        <w:rPr>
          <w:rFonts w:ascii="宋体" w:hAnsi="宋体" w:eastAsia="宋体" w:cs="宋体"/>
          <w:sz w:val="24"/>
          <w:szCs w:val="24"/>
        </w:rPr>
      </w:pPr>
      <w:r>
        <w:rPr>
          <w:rFonts w:ascii="Times New Roman" w:hAnsi="Times New Roman" w:eastAsia="Times New Roman" w:cs="Times New Roman"/>
          <w:strike/>
          <w:spacing w:val="-1"/>
          <w:sz w:val="24"/>
          <w:szCs w:val="24"/>
        </w:rPr>
        <w:t xml:space="preserve">6  </w:t>
      </w:r>
      <w:r>
        <w:rPr>
          <w:rFonts w:ascii="宋体" w:hAnsi="宋体" w:eastAsia="宋体" w:cs="宋体"/>
          <w:strike/>
          <w:spacing w:val="-1"/>
          <w:sz w:val="24"/>
          <w:szCs w:val="24"/>
        </w:rPr>
        <w:t>引下线安装与易燃材料的墙壁或墙体保温层间距应大于</w:t>
      </w:r>
      <w:r>
        <w:rPr>
          <w:rFonts w:ascii="宋体" w:hAnsi="宋体" w:eastAsia="宋体" w:cs="宋体"/>
          <w:strike/>
          <w:spacing w:val="-40"/>
          <w:sz w:val="24"/>
          <w:szCs w:val="24"/>
        </w:rPr>
        <w:t xml:space="preserve"> </w:t>
      </w:r>
      <w:r>
        <w:rPr>
          <w:rFonts w:ascii="Times New Roman" w:hAnsi="Times New Roman" w:eastAsia="Times New Roman" w:cs="Times New Roman"/>
          <w:strike/>
          <w:spacing w:val="-1"/>
          <w:sz w:val="24"/>
          <w:szCs w:val="24"/>
        </w:rPr>
        <w:t>0</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1m</w:t>
      </w:r>
      <w:r>
        <w:rPr>
          <w:rFonts w:ascii="Times New Roman" w:hAnsi="Times New Roman" w:eastAsia="Times New Roman" w:cs="Times New Roman"/>
          <w:strike/>
          <w:spacing w:val="-26"/>
          <w:sz w:val="24"/>
          <w:szCs w:val="24"/>
        </w:rPr>
        <w:t xml:space="preserve"> </w:t>
      </w:r>
      <w:r>
        <w:rPr>
          <w:rFonts w:ascii="宋体" w:hAnsi="宋体" w:eastAsia="宋体" w:cs="宋体"/>
          <w:strike/>
          <w:spacing w:val="-1"/>
          <w:sz w:val="24"/>
          <w:szCs w:val="24"/>
        </w:rPr>
        <w:t>。</w:t>
      </w:r>
    </w:p>
    <w:p w14:paraId="028A1260">
      <w:pPr>
        <w:spacing w:before="203" w:line="226" w:lineRule="auto"/>
        <w:ind w:left="5"/>
        <w:outlineLvl w:val="1"/>
        <w:rPr>
          <w:rFonts w:ascii="宋体" w:hAnsi="宋体" w:eastAsia="宋体" w:cs="宋体"/>
          <w:sz w:val="27"/>
          <w:szCs w:val="27"/>
        </w:rPr>
      </w:pPr>
      <w:bookmarkStart w:id="70" w:name="bookmark116"/>
      <w:bookmarkEnd w:id="70"/>
      <w:r>
        <w:rPr>
          <w:rFonts w:ascii="Times New Roman" w:hAnsi="Times New Roman" w:eastAsia="Times New Roman" w:cs="Times New Roman"/>
          <w:b/>
          <w:bCs/>
          <w:spacing w:val="6"/>
          <w:sz w:val="27"/>
          <w:szCs w:val="27"/>
        </w:rPr>
        <w:t>7.</w:t>
      </w:r>
      <w:r>
        <w:rPr>
          <w:rFonts w:ascii="Times New Roman" w:hAnsi="Times New Roman" w:eastAsia="Times New Roman" w:cs="Times New Roman"/>
          <w:b/>
          <w:bCs/>
          <w:spacing w:val="-35"/>
          <w:sz w:val="27"/>
          <w:szCs w:val="27"/>
        </w:rPr>
        <w:t xml:space="preserve"> </w:t>
      </w:r>
      <w:r>
        <w:rPr>
          <w:rFonts w:ascii="宋体" w:hAnsi="宋体" w:eastAsia="宋体" w:cs="宋体"/>
          <w:b/>
          <w:bCs/>
          <w:spacing w:val="6"/>
          <w:sz w:val="27"/>
          <w:szCs w:val="27"/>
        </w:rPr>
        <w:t>《建筑电气照明装置施工与验收规范》——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50617-2010</w:t>
      </w:r>
      <w:r>
        <w:rPr>
          <w:rFonts w:ascii="宋体" w:hAnsi="宋体" w:eastAsia="宋体" w:cs="宋体"/>
          <w:b/>
          <w:bCs/>
          <w:spacing w:val="6"/>
          <w:sz w:val="27"/>
          <w:szCs w:val="27"/>
        </w:rPr>
        <w:t>【强条已废】</w:t>
      </w:r>
    </w:p>
    <w:p w14:paraId="0A2D9B80">
      <w:pPr>
        <w:spacing w:before="286"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GB55024-2022 </w:t>
      </w:r>
      <w:r>
        <w:rPr>
          <w:rFonts w:ascii="宋体" w:hAnsi="宋体" w:eastAsia="宋体" w:cs="宋体"/>
          <w:b/>
          <w:bCs/>
          <w:color w:val="0563C1"/>
          <w:spacing w:val="-2"/>
          <w:sz w:val="24"/>
          <w:szCs w:val="24"/>
          <w:u w:val="single" w:color="auto"/>
        </w:rPr>
        <w:t>建筑电气与智能化通用规范</w:t>
      </w:r>
      <w:r>
        <w:rPr>
          <w:rFonts w:ascii="宋体" w:hAnsi="宋体" w:eastAsia="宋体" w:cs="宋体"/>
          <w:b/>
          <w:bCs/>
          <w:color w:val="EE0000"/>
          <w:spacing w:val="-2"/>
          <w:sz w:val="24"/>
          <w:szCs w:val="24"/>
        </w:rPr>
        <w:t>》替代</w:t>
      </w:r>
    </w:p>
    <w:p w14:paraId="75E90734">
      <w:pPr>
        <w:spacing w:before="154" w:line="282" w:lineRule="auto"/>
        <w:ind w:left="3" w:right="389" w:firstLine="2"/>
        <w:rPr>
          <w:rFonts w:ascii="宋体" w:hAnsi="宋体" w:eastAsia="宋体" w:cs="宋体"/>
          <w:sz w:val="24"/>
          <w:szCs w:val="24"/>
        </w:rPr>
      </w:pPr>
      <w:r>
        <w:rPr>
          <w:rFonts w:ascii="Times New Roman" w:hAnsi="Times New Roman" w:eastAsia="Times New Roman" w:cs="Times New Roman"/>
          <w:strike/>
          <w:sz w:val="24"/>
          <w:szCs w:val="24"/>
        </w:rPr>
        <w:t xml:space="preserve">3.0.6    </w:t>
      </w:r>
      <w:r>
        <w:rPr>
          <w:rFonts w:ascii="宋体" w:hAnsi="宋体" w:eastAsia="宋体" w:cs="宋体"/>
          <w:strike/>
          <w:sz w:val="24"/>
          <w:szCs w:val="24"/>
        </w:rPr>
        <w:t>在砌体和混凝土结构上严禁使用木楔、尼龙塞或塑</w:t>
      </w:r>
      <w:r>
        <w:rPr>
          <w:rFonts w:ascii="宋体" w:hAnsi="宋体" w:eastAsia="宋体" w:cs="宋体"/>
          <w:strike/>
          <w:spacing w:val="-1"/>
          <w:sz w:val="24"/>
          <w:szCs w:val="24"/>
        </w:rPr>
        <w:t>料塞安装固定电气照明装</w:t>
      </w:r>
      <w:r>
        <w:rPr>
          <w:rFonts w:ascii="宋体" w:hAnsi="宋体" w:eastAsia="宋体" w:cs="宋体"/>
          <w:sz w:val="24"/>
          <w:szCs w:val="24"/>
        </w:rPr>
        <w:t xml:space="preserve"> </w:t>
      </w:r>
      <w:r>
        <w:rPr>
          <w:rFonts w:ascii="宋体" w:hAnsi="宋体" w:eastAsia="宋体" w:cs="宋体"/>
          <w:strike/>
          <w:spacing w:val="-2"/>
          <w:sz w:val="24"/>
          <w:szCs w:val="24"/>
        </w:rPr>
        <w:t>置。</w:t>
      </w:r>
    </w:p>
    <w:p w14:paraId="6526F7AF">
      <w:pPr>
        <w:spacing w:before="147" w:line="279" w:lineRule="auto"/>
        <w:ind w:left="6" w:hanging="6"/>
        <w:rPr>
          <w:rFonts w:ascii="宋体" w:hAnsi="宋体" w:eastAsia="宋体" w:cs="宋体"/>
          <w:sz w:val="24"/>
          <w:szCs w:val="24"/>
        </w:rPr>
      </w:pPr>
      <w:r>
        <w:rPr>
          <w:rFonts w:ascii="Times New Roman" w:hAnsi="Times New Roman" w:eastAsia="Times New Roman" w:cs="Times New Roman"/>
          <w:strike/>
          <w:spacing w:val="-2"/>
          <w:sz w:val="24"/>
          <w:szCs w:val="24"/>
        </w:rPr>
        <w:t xml:space="preserve">4.1.12     </w:t>
      </w:r>
      <w:r>
        <w:rPr>
          <w:rFonts w:ascii="宋体" w:hAnsi="宋体" w:eastAsia="宋体" w:cs="宋体"/>
          <w:strike/>
          <w:spacing w:val="-2"/>
          <w:sz w:val="24"/>
          <w:szCs w:val="24"/>
        </w:rPr>
        <w:t>Ⅰ类灯具的不带电的外露可导电部分必须与保护接地线（</w:t>
      </w:r>
      <w:r>
        <w:rPr>
          <w:rFonts w:ascii="Times New Roman" w:hAnsi="Times New Roman" w:eastAsia="Times New Roman" w:cs="Times New Roman"/>
          <w:strike/>
          <w:spacing w:val="-2"/>
          <w:sz w:val="24"/>
          <w:szCs w:val="24"/>
        </w:rPr>
        <w:t>PE</w:t>
      </w:r>
      <w:r>
        <w:rPr>
          <w:rFonts w:ascii="宋体" w:hAnsi="宋体" w:eastAsia="宋体" w:cs="宋体"/>
          <w:strike/>
          <w:spacing w:val="-2"/>
          <w:sz w:val="24"/>
          <w:szCs w:val="24"/>
        </w:rPr>
        <w:t>）可靠连接，且应</w:t>
      </w:r>
      <w:r>
        <w:rPr>
          <w:rFonts w:ascii="宋体" w:hAnsi="宋体" w:eastAsia="宋体" w:cs="宋体"/>
          <w:spacing w:val="16"/>
          <w:sz w:val="24"/>
          <w:szCs w:val="24"/>
        </w:rPr>
        <w:t xml:space="preserve"> </w:t>
      </w:r>
      <w:r>
        <w:rPr>
          <w:rFonts w:ascii="宋体" w:hAnsi="宋体" w:eastAsia="宋体" w:cs="宋体"/>
          <w:strike/>
          <w:spacing w:val="-2"/>
          <w:sz w:val="24"/>
          <w:szCs w:val="24"/>
        </w:rPr>
        <w:t>有标识。</w:t>
      </w:r>
    </w:p>
    <w:p w14:paraId="463BECC8">
      <w:pPr>
        <w:spacing w:before="155" w:line="279" w:lineRule="auto"/>
        <w:ind w:left="11" w:right="149" w:hanging="11"/>
        <w:rPr>
          <w:rFonts w:ascii="宋体" w:hAnsi="宋体" w:eastAsia="宋体" w:cs="宋体"/>
          <w:sz w:val="24"/>
          <w:szCs w:val="24"/>
        </w:rPr>
      </w:pPr>
      <w:r>
        <w:rPr>
          <w:rFonts w:ascii="Times New Roman" w:hAnsi="Times New Roman" w:eastAsia="Times New Roman" w:cs="Times New Roman"/>
          <w:strike/>
          <w:spacing w:val="-2"/>
          <w:sz w:val="24"/>
          <w:szCs w:val="24"/>
        </w:rPr>
        <w:t xml:space="preserve">4.1.15    </w:t>
      </w:r>
      <w:r>
        <w:rPr>
          <w:rFonts w:ascii="宋体" w:hAnsi="宋体" w:eastAsia="宋体" w:cs="宋体"/>
          <w:strike/>
          <w:spacing w:val="-2"/>
          <w:sz w:val="24"/>
          <w:szCs w:val="24"/>
        </w:rPr>
        <w:t>质量大于</w:t>
      </w:r>
      <w:r>
        <w:rPr>
          <w:rFonts w:ascii="宋体" w:hAnsi="宋体" w:eastAsia="宋体" w:cs="宋体"/>
          <w:strike/>
          <w:spacing w:val="-14"/>
          <w:sz w:val="24"/>
          <w:szCs w:val="24"/>
        </w:rPr>
        <w:t xml:space="preserve"> </w:t>
      </w:r>
      <w:r>
        <w:rPr>
          <w:rFonts w:ascii="Times New Roman" w:hAnsi="Times New Roman" w:eastAsia="Times New Roman" w:cs="Times New Roman"/>
          <w:strike/>
          <w:spacing w:val="-2"/>
          <w:sz w:val="24"/>
          <w:szCs w:val="24"/>
        </w:rPr>
        <w:t>10kg</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的灯具，其固定装置应按</w:t>
      </w:r>
      <w:r>
        <w:rPr>
          <w:rFonts w:ascii="宋体" w:hAnsi="宋体" w:eastAsia="宋体" w:cs="宋体"/>
          <w:strike/>
          <w:spacing w:val="-49"/>
          <w:sz w:val="24"/>
          <w:szCs w:val="24"/>
        </w:rPr>
        <w:t xml:space="preserve"> </w:t>
      </w:r>
      <w:r>
        <w:rPr>
          <w:rFonts w:ascii="Times New Roman" w:hAnsi="Times New Roman" w:eastAsia="Times New Roman" w:cs="Times New Roman"/>
          <w:strike/>
          <w:spacing w:val="-2"/>
          <w:sz w:val="24"/>
          <w:szCs w:val="24"/>
        </w:rPr>
        <w:t xml:space="preserve">5 </w:t>
      </w:r>
      <w:r>
        <w:rPr>
          <w:rFonts w:ascii="宋体" w:hAnsi="宋体" w:eastAsia="宋体" w:cs="宋体"/>
          <w:strike/>
          <w:spacing w:val="-2"/>
          <w:sz w:val="24"/>
          <w:szCs w:val="24"/>
        </w:rPr>
        <w:t>倍灯具重量的恒定均布荷载全数作</w:t>
      </w:r>
      <w:r>
        <w:rPr>
          <w:rFonts w:ascii="宋体" w:hAnsi="宋体" w:eastAsia="宋体" w:cs="宋体"/>
          <w:sz w:val="24"/>
          <w:szCs w:val="24"/>
        </w:rPr>
        <w:t xml:space="preserve"> </w:t>
      </w:r>
      <w:r>
        <w:rPr>
          <w:rFonts w:ascii="宋体" w:hAnsi="宋体" w:eastAsia="宋体" w:cs="宋体"/>
          <w:strike/>
          <w:spacing w:val="-2"/>
          <w:sz w:val="24"/>
          <w:szCs w:val="24"/>
        </w:rPr>
        <w:t>强度试验，历时</w:t>
      </w:r>
      <w:r>
        <w:rPr>
          <w:rFonts w:ascii="宋体" w:hAnsi="宋体" w:eastAsia="宋体" w:cs="宋体"/>
          <w:strike/>
          <w:spacing w:val="-23"/>
          <w:sz w:val="24"/>
          <w:szCs w:val="24"/>
        </w:rPr>
        <w:t xml:space="preserve"> </w:t>
      </w:r>
      <w:r>
        <w:rPr>
          <w:rFonts w:ascii="Times New Roman" w:hAnsi="Times New Roman" w:eastAsia="Times New Roman" w:cs="Times New Roman"/>
          <w:strike/>
          <w:spacing w:val="-2"/>
          <w:sz w:val="24"/>
          <w:szCs w:val="24"/>
        </w:rPr>
        <w:t>15min</w:t>
      </w:r>
      <w:r>
        <w:rPr>
          <w:rFonts w:ascii="宋体" w:hAnsi="宋体" w:eastAsia="宋体" w:cs="宋体"/>
          <w:strike/>
          <w:spacing w:val="-2"/>
          <w:sz w:val="24"/>
          <w:szCs w:val="24"/>
        </w:rPr>
        <w:t>，固定装置的部件应无明显变形。</w:t>
      </w:r>
    </w:p>
    <w:p w14:paraId="3D051825">
      <w:pPr>
        <w:spacing w:before="153"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4.3.3    </w:t>
      </w:r>
      <w:r>
        <w:rPr>
          <w:rFonts w:ascii="宋体" w:hAnsi="宋体" w:eastAsia="宋体" w:cs="宋体"/>
          <w:strike/>
          <w:sz w:val="24"/>
          <w:szCs w:val="24"/>
        </w:rPr>
        <w:t>建筑物景观照明灯具安装应符合</w:t>
      </w:r>
      <w:r>
        <w:rPr>
          <w:rFonts w:ascii="宋体" w:hAnsi="宋体" w:eastAsia="宋体" w:cs="宋体"/>
          <w:strike/>
          <w:spacing w:val="-1"/>
          <w:sz w:val="24"/>
          <w:szCs w:val="24"/>
        </w:rPr>
        <w:t>下列规定：</w:t>
      </w:r>
    </w:p>
    <w:p w14:paraId="62975A7F">
      <w:pPr>
        <w:spacing w:line="220" w:lineRule="auto"/>
        <w:rPr>
          <w:rFonts w:ascii="宋体" w:hAnsi="宋体" w:eastAsia="宋体" w:cs="宋体"/>
          <w:sz w:val="24"/>
          <w:szCs w:val="24"/>
        </w:rPr>
        <w:sectPr>
          <w:footerReference r:id="rId53" w:type="default"/>
          <w:pgSz w:w="11907" w:h="16839"/>
          <w:pgMar w:top="400" w:right="1459" w:bottom="743" w:left="1421" w:header="0" w:footer="582" w:gutter="0"/>
          <w:cols w:space="720" w:num="1"/>
        </w:sectPr>
      </w:pPr>
    </w:p>
    <w:p w14:paraId="79EB6644">
      <w:pPr>
        <w:pStyle w:val="2"/>
        <w:spacing w:line="303" w:lineRule="auto"/>
      </w:pPr>
    </w:p>
    <w:p w14:paraId="52D9194E">
      <w:pPr>
        <w:pStyle w:val="2"/>
        <w:spacing w:line="303" w:lineRule="auto"/>
      </w:pPr>
    </w:p>
    <w:p w14:paraId="7B9E8660">
      <w:pPr>
        <w:pStyle w:val="2"/>
        <w:spacing w:line="304" w:lineRule="auto"/>
      </w:pPr>
    </w:p>
    <w:p w14:paraId="5B535EE1">
      <w:pPr>
        <w:spacing w:before="78" w:line="280" w:lineRule="auto"/>
        <w:ind w:left="5" w:right="120" w:firstLine="49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在人行道等人员来往密集场所安装的灯具，无围栏防护时灯具底部距地面高度</w:t>
      </w:r>
      <w:r>
        <w:rPr>
          <w:rFonts w:ascii="宋体" w:hAnsi="宋体" w:eastAsia="宋体" w:cs="宋体"/>
          <w:spacing w:val="7"/>
          <w:sz w:val="24"/>
          <w:szCs w:val="24"/>
        </w:rPr>
        <w:t xml:space="preserve"> </w:t>
      </w:r>
      <w:r>
        <w:rPr>
          <w:rFonts w:ascii="宋体" w:hAnsi="宋体" w:eastAsia="宋体" w:cs="宋体"/>
          <w:strike/>
          <w:spacing w:val="-5"/>
          <w:sz w:val="24"/>
          <w:szCs w:val="24"/>
        </w:rPr>
        <w:t>应在</w:t>
      </w:r>
      <w:r>
        <w:rPr>
          <w:rFonts w:ascii="宋体" w:hAnsi="宋体" w:eastAsia="宋体" w:cs="宋体"/>
          <w:strike/>
          <w:spacing w:val="-50"/>
          <w:sz w:val="24"/>
          <w:szCs w:val="24"/>
        </w:rPr>
        <w:t xml:space="preserve"> </w:t>
      </w:r>
      <w:r>
        <w:rPr>
          <w:rFonts w:ascii="Times New Roman" w:hAnsi="Times New Roman" w:eastAsia="Times New Roman" w:cs="Times New Roman"/>
          <w:strike/>
          <w:spacing w:val="-5"/>
          <w:sz w:val="24"/>
          <w:szCs w:val="24"/>
        </w:rPr>
        <w:t>2</w:t>
      </w:r>
      <w:r>
        <w:rPr>
          <w:rFonts w:ascii="Times New Roman" w:hAnsi="Times New Roman" w:eastAsia="Times New Roman" w:cs="Times New Roman"/>
          <w:spacing w:val="-5"/>
          <w:sz w:val="24"/>
          <w:szCs w:val="24"/>
        </w:rPr>
        <w:t>.</w:t>
      </w:r>
      <w:r>
        <w:rPr>
          <w:rFonts w:ascii="Times New Roman" w:hAnsi="Times New Roman" w:eastAsia="Times New Roman" w:cs="Times New Roman"/>
          <w:strike/>
          <w:spacing w:val="-5"/>
          <w:sz w:val="24"/>
          <w:szCs w:val="24"/>
        </w:rPr>
        <w:t>5m</w:t>
      </w:r>
      <w:r>
        <w:rPr>
          <w:rFonts w:ascii="Times New Roman" w:hAnsi="Times New Roman" w:eastAsia="Times New Roman" w:cs="Times New Roman"/>
          <w:strike/>
          <w:spacing w:val="37"/>
          <w:sz w:val="24"/>
          <w:szCs w:val="24"/>
        </w:rPr>
        <w:t xml:space="preserve"> </w:t>
      </w:r>
      <w:r>
        <w:rPr>
          <w:rFonts w:ascii="宋体" w:hAnsi="宋体" w:eastAsia="宋体" w:cs="宋体"/>
          <w:strike/>
          <w:spacing w:val="-5"/>
          <w:sz w:val="24"/>
          <w:szCs w:val="24"/>
        </w:rPr>
        <w:t>以上；</w:t>
      </w:r>
    </w:p>
    <w:p w14:paraId="44838D07">
      <w:pPr>
        <w:spacing w:before="150" w:line="220" w:lineRule="auto"/>
        <w:ind w:left="48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灯具及其金属构架和金属保护管与保护接地线（</w:t>
      </w:r>
      <w:r>
        <w:rPr>
          <w:rFonts w:ascii="Times New Roman" w:hAnsi="Times New Roman" w:eastAsia="Times New Roman" w:cs="Times New Roman"/>
          <w:strike/>
          <w:sz w:val="24"/>
          <w:szCs w:val="24"/>
        </w:rPr>
        <w:t>PE</w:t>
      </w:r>
      <w:r>
        <w:rPr>
          <w:rFonts w:ascii="宋体" w:hAnsi="宋体" w:eastAsia="宋体" w:cs="宋体"/>
          <w:strike/>
          <w:sz w:val="24"/>
          <w:szCs w:val="24"/>
        </w:rPr>
        <w:t>）应连接可</w:t>
      </w:r>
      <w:r>
        <w:rPr>
          <w:rFonts w:ascii="宋体" w:hAnsi="宋体" w:eastAsia="宋体" w:cs="宋体"/>
          <w:strike/>
          <w:spacing w:val="-1"/>
          <w:sz w:val="24"/>
          <w:szCs w:val="24"/>
        </w:rPr>
        <w:t>靠，且有标识；</w:t>
      </w:r>
    </w:p>
    <w:p w14:paraId="111AC12E">
      <w:pPr>
        <w:spacing w:before="154" w:line="220" w:lineRule="auto"/>
        <w:ind w:left="482"/>
        <w:rPr>
          <w:rFonts w:ascii="宋体" w:hAnsi="宋体" w:eastAsia="宋体" w:cs="宋体"/>
          <w:sz w:val="24"/>
          <w:szCs w:val="24"/>
        </w:rPr>
      </w:pPr>
      <w:r>
        <w:rPr>
          <w:rFonts w:ascii="Times New Roman" w:hAnsi="Times New Roman" w:eastAsia="Times New Roman" w:cs="Times New Roman"/>
          <w:b/>
          <w:bCs/>
          <w:color w:val="EE0000"/>
          <w:spacing w:val="-2"/>
          <w:sz w:val="24"/>
          <w:szCs w:val="24"/>
        </w:rPr>
        <w:t xml:space="preserve">3  </w:t>
      </w:r>
      <w:r>
        <w:rPr>
          <w:rFonts w:ascii="宋体" w:hAnsi="宋体" w:eastAsia="宋体" w:cs="宋体"/>
          <w:b/>
          <w:bCs/>
          <w:color w:val="EE0000"/>
          <w:spacing w:val="-2"/>
          <w:sz w:val="24"/>
          <w:szCs w:val="24"/>
        </w:rPr>
        <w:t>灯具的节能分级应符合设计要求。</w:t>
      </w:r>
    </w:p>
    <w:p w14:paraId="02300717">
      <w:pPr>
        <w:spacing w:before="154" w:line="220"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5.1.2    </w:t>
      </w:r>
      <w:r>
        <w:rPr>
          <w:rFonts w:ascii="宋体" w:hAnsi="宋体" w:eastAsia="宋体" w:cs="宋体"/>
          <w:strike/>
          <w:spacing w:val="-1"/>
          <w:sz w:val="24"/>
          <w:szCs w:val="24"/>
        </w:rPr>
        <w:t>插座的接线应符合下列规定：</w:t>
      </w:r>
    </w:p>
    <w:p w14:paraId="407F095A">
      <w:pPr>
        <w:spacing w:before="152" w:line="280" w:lineRule="auto"/>
        <w:ind w:left="6" w:right="120" w:firstLine="497"/>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单相两孔插座，面对插座，右孔或上孔应与相线连接，左孔或下孔应与中性线</w:t>
      </w:r>
      <w:r>
        <w:rPr>
          <w:rFonts w:ascii="宋体" w:hAnsi="宋体" w:eastAsia="宋体" w:cs="宋体"/>
          <w:spacing w:val="7"/>
          <w:sz w:val="24"/>
          <w:szCs w:val="24"/>
        </w:rPr>
        <w:t xml:space="preserve"> </w:t>
      </w:r>
      <w:r>
        <w:rPr>
          <w:rFonts w:ascii="宋体" w:hAnsi="宋体" w:eastAsia="宋体" w:cs="宋体"/>
          <w:sz w:val="24"/>
          <w:szCs w:val="24"/>
        </w:rPr>
        <w:t>连接；单向三孔插座，面对插座，右孔应与相线连接</w:t>
      </w:r>
      <w:r>
        <w:rPr>
          <w:rFonts w:ascii="宋体" w:hAnsi="宋体" w:eastAsia="宋体" w:cs="宋体"/>
          <w:spacing w:val="-1"/>
          <w:sz w:val="24"/>
          <w:szCs w:val="24"/>
        </w:rPr>
        <w:t>，左孔应与中性线连接；</w:t>
      </w:r>
    </w:p>
    <w:p w14:paraId="28BDFC03">
      <w:pPr>
        <w:spacing w:before="153" w:line="279" w:lineRule="auto"/>
        <w:ind w:left="25" w:right="91" w:firstLine="455"/>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z w:val="24"/>
          <w:szCs w:val="24"/>
        </w:rPr>
        <w:t>单相三孔、三相四孔及三相五孔插座的</w:t>
      </w:r>
      <w:r>
        <w:rPr>
          <w:rFonts w:ascii="宋体" w:hAnsi="宋体" w:eastAsia="宋体" w:cs="宋体"/>
          <w:spacing w:val="-1"/>
          <w:sz w:val="24"/>
          <w:szCs w:val="24"/>
        </w:rPr>
        <w:t>保护接地线（</w:t>
      </w:r>
      <w:r>
        <w:rPr>
          <w:rFonts w:ascii="Times New Roman" w:hAnsi="Times New Roman" w:eastAsia="Times New Roman" w:cs="Times New Roman"/>
          <w:strike/>
          <w:spacing w:val="-1"/>
          <w:sz w:val="24"/>
          <w:szCs w:val="24"/>
        </w:rPr>
        <w:t>PE</w:t>
      </w:r>
      <w:r>
        <w:rPr>
          <w:rFonts w:ascii="宋体" w:hAnsi="宋体" w:eastAsia="宋体" w:cs="宋体"/>
          <w:strike/>
          <w:spacing w:val="-1"/>
          <w:sz w:val="24"/>
          <w:szCs w:val="24"/>
        </w:rPr>
        <w:t>）必须接在上孔。插座</w:t>
      </w:r>
      <w:r>
        <w:rPr>
          <w:rFonts w:ascii="宋体" w:hAnsi="宋体" w:eastAsia="宋体" w:cs="宋体"/>
          <w:sz w:val="24"/>
          <w:szCs w:val="24"/>
        </w:rPr>
        <w:t xml:space="preserve"> </w:t>
      </w:r>
      <w:r>
        <w:rPr>
          <w:rFonts w:ascii="宋体" w:hAnsi="宋体" w:eastAsia="宋体" w:cs="宋体"/>
          <w:strike/>
          <w:spacing w:val="-1"/>
          <w:sz w:val="24"/>
          <w:szCs w:val="24"/>
        </w:rPr>
        <w:t>的保护接地端子不应与中性线端子连接。同</w:t>
      </w:r>
      <w:r>
        <w:rPr>
          <w:rFonts w:ascii="宋体" w:hAnsi="宋体" w:eastAsia="宋体" w:cs="宋体"/>
          <w:spacing w:val="-1"/>
          <w:sz w:val="24"/>
          <w:szCs w:val="24"/>
        </w:rPr>
        <w:t>一</w:t>
      </w:r>
      <w:r>
        <w:rPr>
          <w:rFonts w:ascii="宋体" w:hAnsi="宋体" w:eastAsia="宋体" w:cs="宋体"/>
          <w:strike/>
          <w:spacing w:val="-1"/>
          <w:sz w:val="24"/>
          <w:szCs w:val="24"/>
        </w:rPr>
        <w:t>场所的三相插座，接线的相序应</w:t>
      </w:r>
      <w:r>
        <w:rPr>
          <w:rFonts w:ascii="宋体" w:hAnsi="宋体" w:eastAsia="宋体" w:cs="宋体"/>
          <w:spacing w:val="-1"/>
          <w:sz w:val="24"/>
          <w:szCs w:val="24"/>
        </w:rPr>
        <w:t>一</w:t>
      </w:r>
      <w:r>
        <w:rPr>
          <w:rFonts w:ascii="宋体" w:hAnsi="宋体" w:eastAsia="宋体" w:cs="宋体"/>
          <w:strike/>
          <w:spacing w:val="-1"/>
          <w:sz w:val="24"/>
          <w:szCs w:val="24"/>
        </w:rPr>
        <w:t>致；</w:t>
      </w:r>
    </w:p>
    <w:p w14:paraId="6FDC531A">
      <w:pPr>
        <w:spacing w:before="154" w:line="220"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保护接地线（</w:t>
      </w:r>
      <w:r>
        <w:rPr>
          <w:rFonts w:ascii="Times New Roman" w:hAnsi="Times New Roman" w:eastAsia="Times New Roman" w:cs="Times New Roman"/>
          <w:strike/>
          <w:spacing w:val="-1"/>
          <w:sz w:val="24"/>
          <w:szCs w:val="24"/>
        </w:rPr>
        <w:t>PE</w:t>
      </w:r>
      <w:r>
        <w:rPr>
          <w:rFonts w:ascii="宋体" w:hAnsi="宋体" w:eastAsia="宋体" w:cs="宋体"/>
          <w:strike/>
          <w:spacing w:val="-1"/>
          <w:sz w:val="24"/>
          <w:szCs w:val="24"/>
        </w:rPr>
        <w:t>）在插座间不得串联连接。</w:t>
      </w:r>
    </w:p>
    <w:p w14:paraId="12C8596D">
      <w:pPr>
        <w:spacing w:before="156" w:line="338" w:lineRule="auto"/>
        <w:ind w:left="6" w:right="120" w:hanging="1"/>
        <w:rPr>
          <w:rFonts w:ascii="宋体" w:hAnsi="宋体" w:eastAsia="宋体" w:cs="宋体"/>
          <w:sz w:val="24"/>
          <w:szCs w:val="24"/>
        </w:rPr>
      </w:pPr>
      <w:r>
        <w:rPr>
          <w:rFonts w:ascii="Times New Roman" w:hAnsi="Times New Roman" w:eastAsia="Times New Roman" w:cs="Times New Roman"/>
          <w:strike/>
          <w:sz w:val="24"/>
          <w:szCs w:val="24"/>
        </w:rPr>
        <w:t xml:space="preserve">7.2.1    </w:t>
      </w:r>
      <w:r>
        <w:rPr>
          <w:rFonts w:ascii="宋体" w:hAnsi="宋体" w:eastAsia="宋体" w:cs="宋体"/>
          <w:strike/>
          <w:sz w:val="24"/>
          <w:szCs w:val="24"/>
        </w:rPr>
        <w:t>当有照度和功率密度测试要求时，应在无外界光源的情</w:t>
      </w:r>
      <w:r>
        <w:rPr>
          <w:rFonts w:ascii="宋体" w:hAnsi="宋体" w:eastAsia="宋体" w:cs="宋体"/>
          <w:strike/>
          <w:spacing w:val="-1"/>
          <w:sz w:val="24"/>
          <w:szCs w:val="24"/>
        </w:rPr>
        <w:t>况下，测量并记录被检</w:t>
      </w:r>
      <w:r>
        <w:rPr>
          <w:rFonts w:ascii="宋体" w:hAnsi="宋体" w:eastAsia="宋体" w:cs="宋体"/>
          <w:sz w:val="24"/>
          <w:szCs w:val="24"/>
        </w:rPr>
        <w:t xml:space="preserve"> </w:t>
      </w:r>
      <w:r>
        <w:rPr>
          <w:rFonts w:ascii="宋体" w:hAnsi="宋体" w:eastAsia="宋体" w:cs="宋体"/>
          <w:strike/>
          <w:sz w:val="24"/>
          <w:szCs w:val="24"/>
        </w:rPr>
        <w:t>测区域内的平均照度和功率密度值，每种功能区</w:t>
      </w:r>
      <w:r>
        <w:rPr>
          <w:rFonts w:ascii="宋体" w:hAnsi="宋体" w:eastAsia="宋体" w:cs="宋体"/>
          <w:strike/>
          <w:spacing w:val="-1"/>
          <w:sz w:val="24"/>
          <w:szCs w:val="24"/>
        </w:rPr>
        <w:t>域检测不少于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处。</w:t>
      </w:r>
    </w:p>
    <w:p w14:paraId="7D36969B">
      <w:pPr>
        <w:spacing w:before="1" w:line="219" w:lineRule="auto"/>
        <w:ind w:left="504"/>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照度值不得小于设计值；</w:t>
      </w:r>
    </w:p>
    <w:p w14:paraId="17D1C171">
      <w:pPr>
        <w:spacing w:before="156" w:line="279" w:lineRule="auto"/>
        <w:ind w:left="6" w:right="86" w:firstLine="474"/>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功率密度值应符合现行国家标准《建筑照明设计标准》</w:t>
      </w:r>
      <w:r>
        <w:rPr>
          <w:rFonts w:ascii="Times New Roman" w:hAnsi="Times New Roman" w:eastAsia="Times New Roman" w:cs="Times New Roman"/>
          <w:strike/>
          <w:spacing w:val="-1"/>
          <w:sz w:val="24"/>
          <w:szCs w:val="24"/>
        </w:rPr>
        <w:t>GB50034</w:t>
      </w:r>
      <w:r>
        <w:rPr>
          <w:rFonts w:ascii="Times New Roman" w:hAnsi="Times New Roman" w:eastAsia="Times New Roman" w:cs="Times New Roman"/>
          <w:strike/>
          <w:spacing w:val="34"/>
          <w:sz w:val="24"/>
          <w:szCs w:val="24"/>
        </w:rPr>
        <w:t xml:space="preserve"> </w:t>
      </w:r>
      <w:r>
        <w:rPr>
          <w:rFonts w:ascii="宋体" w:hAnsi="宋体" w:eastAsia="宋体" w:cs="宋体"/>
          <w:strike/>
          <w:spacing w:val="-1"/>
          <w:sz w:val="24"/>
          <w:szCs w:val="24"/>
        </w:rPr>
        <w:t>的规定或设计</w:t>
      </w:r>
      <w:r>
        <w:rPr>
          <w:rFonts w:ascii="宋体" w:hAnsi="宋体" w:eastAsia="宋体" w:cs="宋体"/>
          <w:sz w:val="24"/>
          <w:szCs w:val="24"/>
        </w:rPr>
        <w:t xml:space="preserve"> </w:t>
      </w:r>
      <w:r>
        <w:rPr>
          <w:rFonts w:ascii="宋体" w:hAnsi="宋体" w:eastAsia="宋体" w:cs="宋体"/>
          <w:strike/>
          <w:spacing w:val="-3"/>
          <w:sz w:val="24"/>
          <w:szCs w:val="24"/>
        </w:rPr>
        <w:t>要求。</w:t>
      </w:r>
    </w:p>
    <w:p w14:paraId="4BFFEEDC">
      <w:pPr>
        <w:spacing w:before="200" w:line="225" w:lineRule="auto"/>
        <w:ind w:left="5"/>
        <w:outlineLvl w:val="1"/>
        <w:rPr>
          <w:rFonts w:ascii="Times New Roman" w:hAnsi="Times New Roman" w:eastAsia="Times New Roman" w:cs="Times New Roman"/>
          <w:sz w:val="27"/>
          <w:szCs w:val="27"/>
        </w:rPr>
      </w:pPr>
      <w:bookmarkStart w:id="71" w:name="bookmark117"/>
      <w:bookmarkEnd w:id="71"/>
      <w:r>
        <w:rPr>
          <w:rFonts w:ascii="Times New Roman" w:hAnsi="Times New Roman" w:eastAsia="Times New Roman" w:cs="Times New Roman"/>
          <w:b/>
          <w:bCs/>
          <w:spacing w:val="7"/>
          <w:sz w:val="27"/>
          <w:szCs w:val="27"/>
        </w:rPr>
        <w:t>8.</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医疗机构污水处理工程技术标准</w:t>
      </w:r>
      <w:r>
        <w:rPr>
          <w:rFonts w:ascii="宋体" w:hAnsi="宋体" w:eastAsia="宋体" w:cs="宋体"/>
          <w:b/>
          <w:bCs/>
          <w:spacing w:val="7"/>
          <w:sz w:val="27"/>
          <w:szCs w:val="27"/>
        </w:rPr>
        <w:t>》</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7"/>
          <w:sz w:val="27"/>
          <w:szCs w:val="27"/>
        </w:rPr>
        <w:t>51459-</w:t>
      </w:r>
      <w:r>
        <w:rPr>
          <w:rFonts w:ascii="Times New Roman" w:hAnsi="Times New Roman" w:eastAsia="Times New Roman" w:cs="Times New Roman"/>
          <w:b/>
          <w:bCs/>
          <w:spacing w:val="6"/>
          <w:sz w:val="27"/>
          <w:szCs w:val="27"/>
        </w:rPr>
        <w:t>2024</w:t>
      </w:r>
    </w:p>
    <w:p w14:paraId="34E1A9EE">
      <w:pPr>
        <w:spacing w:before="287" w:line="280" w:lineRule="auto"/>
        <w:ind w:left="7" w:right="239" w:firstLine="4"/>
        <w:rPr>
          <w:rFonts w:ascii="宋体" w:hAnsi="宋体" w:eastAsia="宋体" w:cs="宋体"/>
          <w:sz w:val="24"/>
          <w:szCs w:val="24"/>
        </w:rPr>
      </w:pPr>
      <w:r>
        <w:rPr>
          <w:rFonts w:ascii="Times New Roman" w:hAnsi="Times New Roman" w:eastAsia="Times New Roman" w:cs="Times New Roman"/>
          <w:b/>
          <w:bCs/>
          <w:sz w:val="24"/>
          <w:szCs w:val="24"/>
        </w:rPr>
        <w:t xml:space="preserve">1.0.4  </w:t>
      </w:r>
      <w:r>
        <w:rPr>
          <w:rFonts w:ascii="宋体" w:hAnsi="宋体" w:eastAsia="宋体" w:cs="宋体"/>
          <w:sz w:val="24"/>
          <w:szCs w:val="24"/>
        </w:rPr>
        <w:t>医疗机构区域内排水应采取雨污分流、</w:t>
      </w:r>
      <w:r>
        <w:rPr>
          <w:rFonts w:ascii="宋体" w:hAnsi="宋体" w:eastAsia="宋体" w:cs="宋体"/>
          <w:spacing w:val="-1"/>
          <w:sz w:val="24"/>
          <w:szCs w:val="24"/>
        </w:rPr>
        <w:t>传染病医疗机构屋面及地面雨水严禁回</w:t>
      </w:r>
      <w:r>
        <w:rPr>
          <w:rFonts w:ascii="宋体" w:hAnsi="宋体" w:eastAsia="宋体" w:cs="宋体"/>
          <w:sz w:val="24"/>
          <w:szCs w:val="24"/>
        </w:rPr>
        <w:t xml:space="preserve"> </w:t>
      </w:r>
      <w:r>
        <w:rPr>
          <w:rFonts w:ascii="宋体" w:hAnsi="宋体" w:eastAsia="宋体" w:cs="宋体"/>
          <w:spacing w:val="-12"/>
          <w:sz w:val="24"/>
          <w:szCs w:val="24"/>
        </w:rPr>
        <w:t>用。</w:t>
      </w:r>
    </w:p>
    <w:p w14:paraId="361F42EB">
      <w:pPr>
        <w:spacing w:before="152" w:line="219"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3.0.4  </w:t>
      </w:r>
      <w:r>
        <w:rPr>
          <w:rFonts w:ascii="宋体" w:hAnsi="宋体" w:eastAsia="宋体" w:cs="宋体"/>
          <w:spacing w:val="-2"/>
          <w:sz w:val="24"/>
          <w:szCs w:val="24"/>
        </w:rPr>
        <w:t>医疗机构污水必须进行消毒处理。</w:t>
      </w:r>
    </w:p>
    <w:p w14:paraId="0511899F">
      <w:pPr>
        <w:spacing w:before="156" w:line="279" w:lineRule="auto"/>
        <w:ind w:left="5" w:hanging="5"/>
        <w:rPr>
          <w:rFonts w:ascii="宋体" w:hAnsi="宋体" w:eastAsia="宋体" w:cs="宋体"/>
          <w:sz w:val="24"/>
          <w:szCs w:val="24"/>
        </w:rPr>
      </w:pPr>
      <w:r>
        <w:rPr>
          <w:rFonts w:ascii="Times New Roman" w:hAnsi="Times New Roman" w:eastAsia="Times New Roman" w:cs="Times New Roman"/>
          <w:b/>
          <w:bCs/>
          <w:sz w:val="24"/>
          <w:szCs w:val="24"/>
        </w:rPr>
        <w:t xml:space="preserve">3.0.6  </w:t>
      </w:r>
      <w:r>
        <w:rPr>
          <w:rFonts w:ascii="宋体" w:hAnsi="宋体" w:eastAsia="宋体" w:cs="宋体"/>
          <w:sz w:val="24"/>
          <w:szCs w:val="24"/>
        </w:rPr>
        <w:t>特殊医疗污水必须经过处理达到相应排放标准和符合进水水质要求后</w:t>
      </w:r>
      <w:r>
        <w:rPr>
          <w:rFonts w:ascii="宋体" w:hAnsi="宋体" w:eastAsia="宋体" w:cs="宋体"/>
          <w:spacing w:val="-1"/>
          <w:sz w:val="24"/>
          <w:szCs w:val="24"/>
        </w:rPr>
        <w:t>，方可与其</w:t>
      </w:r>
      <w:r>
        <w:rPr>
          <w:rFonts w:ascii="宋体" w:hAnsi="宋体" w:eastAsia="宋体" w:cs="宋体"/>
          <w:sz w:val="24"/>
          <w:szCs w:val="24"/>
        </w:rPr>
        <w:t xml:space="preserve"> </w:t>
      </w:r>
      <w:r>
        <w:rPr>
          <w:rFonts w:ascii="宋体" w:hAnsi="宋体" w:eastAsia="宋体" w:cs="宋体"/>
          <w:spacing w:val="-5"/>
          <w:sz w:val="24"/>
          <w:szCs w:val="24"/>
        </w:rPr>
        <w:t>他污水合并处理。</w:t>
      </w:r>
    </w:p>
    <w:p w14:paraId="1FDF663A">
      <w:pPr>
        <w:spacing w:before="154" w:line="219" w:lineRule="auto"/>
        <w:ind w:left="4"/>
        <w:rPr>
          <w:rFonts w:ascii="宋体" w:hAnsi="宋体" w:eastAsia="宋体" w:cs="宋体"/>
          <w:sz w:val="24"/>
          <w:szCs w:val="24"/>
        </w:rPr>
      </w:pPr>
      <w:r>
        <w:rPr>
          <w:rFonts w:ascii="Times New Roman" w:hAnsi="Times New Roman" w:eastAsia="Times New Roman" w:cs="Times New Roman"/>
          <w:b/>
          <w:bCs/>
          <w:spacing w:val="-2"/>
          <w:sz w:val="24"/>
          <w:szCs w:val="24"/>
        </w:rPr>
        <w:t xml:space="preserve">5.0.9  </w:t>
      </w:r>
      <w:r>
        <w:rPr>
          <w:rFonts w:ascii="宋体" w:hAnsi="宋体" w:eastAsia="宋体" w:cs="宋体"/>
          <w:spacing w:val="-2"/>
          <w:sz w:val="24"/>
          <w:szCs w:val="24"/>
        </w:rPr>
        <w:t>医疗机构污水通气管严禁接入风井（管）道。</w:t>
      </w:r>
    </w:p>
    <w:p w14:paraId="7A6CEDB7">
      <w:pPr>
        <w:spacing w:before="156" w:line="279" w:lineRule="auto"/>
        <w:ind w:left="9" w:hanging="5"/>
        <w:rPr>
          <w:rFonts w:ascii="宋体" w:hAnsi="宋体" w:eastAsia="宋体" w:cs="宋体"/>
          <w:sz w:val="24"/>
          <w:szCs w:val="24"/>
        </w:rPr>
      </w:pPr>
      <w:r>
        <w:rPr>
          <w:rFonts w:ascii="Times New Roman" w:hAnsi="Times New Roman" w:eastAsia="Times New Roman" w:cs="Times New Roman"/>
          <w:b/>
          <w:bCs/>
          <w:sz w:val="24"/>
          <w:szCs w:val="24"/>
        </w:rPr>
        <w:t xml:space="preserve">7.2.5  </w:t>
      </w:r>
      <w:r>
        <w:rPr>
          <w:rFonts w:ascii="宋体" w:hAnsi="宋体" w:eastAsia="宋体" w:cs="宋体"/>
          <w:sz w:val="24"/>
          <w:szCs w:val="24"/>
        </w:rPr>
        <w:t>综合医疗机构的传染病区污水、传染病医疗机构污水在进</w:t>
      </w:r>
      <w:r>
        <w:rPr>
          <w:rFonts w:ascii="宋体" w:hAnsi="宋体" w:eastAsia="宋体" w:cs="宋体"/>
          <w:spacing w:val="-1"/>
          <w:sz w:val="24"/>
          <w:szCs w:val="24"/>
        </w:rPr>
        <w:t>入污水处理系统前应进</w:t>
      </w:r>
      <w:r>
        <w:rPr>
          <w:rFonts w:ascii="宋体" w:hAnsi="宋体" w:eastAsia="宋体" w:cs="宋体"/>
          <w:sz w:val="24"/>
          <w:szCs w:val="24"/>
        </w:rPr>
        <w:t xml:space="preserve"> </w:t>
      </w:r>
      <w:r>
        <w:rPr>
          <w:rFonts w:ascii="宋体" w:hAnsi="宋体" w:eastAsia="宋体" w:cs="宋体"/>
          <w:spacing w:val="-2"/>
          <w:sz w:val="24"/>
          <w:szCs w:val="24"/>
        </w:rPr>
        <w:t>行预消毒处理，预消毒设施的水力停留时间不应小于</w:t>
      </w:r>
      <w:r>
        <w:rPr>
          <w:rFonts w:ascii="宋体" w:hAnsi="宋体" w:eastAsia="宋体" w:cs="宋体"/>
          <w:spacing w:val="-19"/>
          <w:sz w:val="24"/>
          <w:szCs w:val="24"/>
        </w:rPr>
        <w:t xml:space="preserve"> </w:t>
      </w:r>
      <w:r>
        <w:rPr>
          <w:rFonts w:ascii="Times New Roman" w:hAnsi="Times New Roman" w:eastAsia="Times New Roman" w:cs="Times New Roman"/>
          <w:spacing w:val="-2"/>
          <w:sz w:val="24"/>
          <w:szCs w:val="24"/>
        </w:rPr>
        <w:t>1.0h</w:t>
      </w:r>
      <w:r>
        <w:rPr>
          <w:rFonts w:ascii="宋体" w:hAnsi="宋体" w:eastAsia="宋体" w:cs="宋体"/>
          <w:spacing w:val="-2"/>
          <w:sz w:val="24"/>
          <w:szCs w:val="24"/>
        </w:rPr>
        <w:t>。</w:t>
      </w:r>
    </w:p>
    <w:p w14:paraId="24A9E308">
      <w:pPr>
        <w:spacing w:before="154" w:line="219" w:lineRule="auto"/>
        <w:ind w:left="11"/>
        <w:rPr>
          <w:rFonts w:ascii="宋体" w:hAnsi="宋体" w:eastAsia="宋体" w:cs="宋体"/>
          <w:sz w:val="24"/>
          <w:szCs w:val="24"/>
        </w:rPr>
      </w:pPr>
      <w:r>
        <w:rPr>
          <w:rFonts w:ascii="Times New Roman" w:hAnsi="Times New Roman" w:eastAsia="Times New Roman" w:cs="Times New Roman"/>
          <w:b/>
          <w:bCs/>
          <w:spacing w:val="-2"/>
          <w:sz w:val="24"/>
          <w:szCs w:val="24"/>
        </w:rPr>
        <w:t xml:space="preserve">11.1.8  </w:t>
      </w:r>
      <w:r>
        <w:rPr>
          <w:rFonts w:ascii="宋体" w:hAnsi="宋体" w:eastAsia="宋体" w:cs="宋体"/>
          <w:spacing w:val="-2"/>
          <w:sz w:val="24"/>
          <w:szCs w:val="24"/>
        </w:rPr>
        <w:t>医疗机构污水处理工程的管道和设备应有永久标识，并应符合下列规定。</w:t>
      </w:r>
    </w:p>
    <w:p w14:paraId="68E626C4">
      <w:pPr>
        <w:spacing w:before="155" w:line="220" w:lineRule="auto"/>
        <w:ind w:left="504"/>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、污水收集管道、工艺管道应有识别色和识别</w:t>
      </w:r>
      <w:r>
        <w:rPr>
          <w:rFonts w:ascii="宋体" w:hAnsi="宋体" w:eastAsia="宋体" w:cs="宋体"/>
          <w:spacing w:val="-3"/>
          <w:sz w:val="24"/>
          <w:szCs w:val="24"/>
        </w:rPr>
        <w:t>符号，并用箭头标识流动方向；</w:t>
      </w:r>
    </w:p>
    <w:p w14:paraId="6A87644E">
      <w:pPr>
        <w:spacing w:before="155" w:line="220" w:lineRule="auto"/>
        <w:ind w:left="481"/>
        <w:rPr>
          <w:rFonts w:ascii="宋体" w:hAnsi="宋体" w:eastAsia="宋体" w:cs="宋体"/>
          <w:sz w:val="24"/>
          <w:szCs w:val="24"/>
        </w:rPr>
      </w:pPr>
      <w:r>
        <w:rPr>
          <w:rFonts w:ascii="Times New Roman" w:hAnsi="Times New Roman" w:eastAsia="Times New Roman" w:cs="Times New Roman"/>
          <w:spacing w:val="-5"/>
          <w:sz w:val="24"/>
          <w:szCs w:val="24"/>
        </w:rPr>
        <w:t>2</w:t>
      </w:r>
      <w:r>
        <w:rPr>
          <w:rFonts w:ascii="宋体" w:hAnsi="宋体" w:eastAsia="宋体" w:cs="宋体"/>
          <w:spacing w:val="-5"/>
          <w:sz w:val="24"/>
          <w:szCs w:val="24"/>
        </w:rPr>
        <w:t>、处理设备应标识设备名称；</w:t>
      </w:r>
    </w:p>
    <w:p w14:paraId="1463A8DA">
      <w:pPr>
        <w:spacing w:before="153" w:line="219" w:lineRule="auto"/>
        <w:ind w:left="485"/>
        <w:rPr>
          <w:rFonts w:ascii="宋体" w:hAnsi="宋体" w:eastAsia="宋体" w:cs="宋体"/>
          <w:sz w:val="24"/>
          <w:szCs w:val="24"/>
        </w:rPr>
      </w:pPr>
      <w:r>
        <w:rPr>
          <w:rFonts w:ascii="Times New Roman" w:hAnsi="Times New Roman" w:eastAsia="Times New Roman" w:cs="Times New Roman"/>
          <w:spacing w:val="-4"/>
          <w:sz w:val="24"/>
          <w:szCs w:val="24"/>
        </w:rPr>
        <w:t>3</w:t>
      </w:r>
      <w:r>
        <w:rPr>
          <w:rFonts w:ascii="宋体" w:hAnsi="宋体" w:eastAsia="宋体" w:cs="宋体"/>
          <w:spacing w:val="-4"/>
          <w:sz w:val="24"/>
          <w:szCs w:val="24"/>
        </w:rPr>
        <w:t>、构筑物护栏、扶梯和走道板应有安全色；</w:t>
      </w:r>
    </w:p>
    <w:p w14:paraId="1A238B6F">
      <w:pPr>
        <w:spacing w:before="156" w:line="219" w:lineRule="auto"/>
        <w:ind w:left="479"/>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、特殊医疗污水和传染病医疗机构污水检查井应有标识符号。</w:t>
      </w:r>
    </w:p>
    <w:p w14:paraId="7321E9EA">
      <w:pPr>
        <w:spacing w:before="203" w:line="225" w:lineRule="auto"/>
        <w:ind w:left="4"/>
        <w:outlineLvl w:val="1"/>
        <w:rPr>
          <w:rFonts w:ascii="宋体" w:hAnsi="宋体" w:eastAsia="宋体" w:cs="宋体"/>
          <w:sz w:val="27"/>
          <w:szCs w:val="27"/>
        </w:rPr>
      </w:pPr>
      <w:bookmarkStart w:id="72" w:name="bookmark118"/>
      <w:bookmarkEnd w:id="72"/>
      <w:r>
        <w:rPr>
          <w:rFonts w:ascii="Times New Roman" w:hAnsi="Times New Roman" w:eastAsia="Times New Roman" w:cs="Times New Roman"/>
          <w:b/>
          <w:bCs/>
          <w:spacing w:val="4"/>
          <w:sz w:val="27"/>
          <w:szCs w:val="27"/>
        </w:rPr>
        <w:t>9.</w:t>
      </w:r>
      <w:r>
        <w:rPr>
          <w:rFonts w:ascii="宋体" w:hAnsi="宋体" w:eastAsia="宋体" w:cs="宋体"/>
          <w:b/>
          <w:bCs/>
          <w:spacing w:val="4"/>
          <w:sz w:val="27"/>
          <w:szCs w:val="27"/>
        </w:rPr>
        <w:t>《金属与石材幕墙工程技术规范》</w:t>
      </w:r>
      <w:r>
        <w:rPr>
          <w:rFonts w:ascii="宋体" w:hAnsi="宋体" w:eastAsia="宋体" w:cs="宋体"/>
          <w:spacing w:val="-90"/>
          <w:sz w:val="27"/>
          <w:szCs w:val="27"/>
        </w:rPr>
        <w:t xml:space="preserve"> </w:t>
      </w:r>
      <w:r>
        <w:rPr>
          <w:rFonts w:ascii="宋体" w:hAnsi="宋体" w:eastAsia="宋体" w:cs="宋体"/>
          <w:b/>
          <w:bCs/>
          <w:spacing w:val="4"/>
          <w:sz w:val="27"/>
          <w:szCs w:val="27"/>
        </w:rPr>
        <w:t>——</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4"/>
          <w:sz w:val="27"/>
          <w:szCs w:val="27"/>
        </w:rPr>
        <w:t>133-2001</w:t>
      </w:r>
      <w:r>
        <w:rPr>
          <w:rFonts w:ascii="Times New Roman" w:hAnsi="Times New Roman" w:eastAsia="Times New Roman" w:cs="Times New Roman"/>
          <w:b/>
          <w:bCs/>
          <w:spacing w:val="-11"/>
          <w:sz w:val="27"/>
          <w:szCs w:val="27"/>
        </w:rPr>
        <w:t xml:space="preserve"> </w:t>
      </w:r>
      <w:r>
        <w:rPr>
          <w:rFonts w:ascii="宋体" w:hAnsi="宋体" w:eastAsia="宋体" w:cs="宋体"/>
          <w:b/>
          <w:bCs/>
          <w:spacing w:val="4"/>
          <w:sz w:val="27"/>
          <w:szCs w:val="27"/>
        </w:rPr>
        <w:t>【强条已废】</w:t>
      </w:r>
    </w:p>
    <w:p w14:paraId="3185DFA6">
      <w:pPr>
        <w:spacing w:before="287"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GB55030-2022 </w:t>
      </w:r>
      <w:r>
        <w:rPr>
          <w:rFonts w:ascii="宋体" w:hAnsi="宋体" w:eastAsia="宋体" w:cs="宋体"/>
          <w:b/>
          <w:bCs/>
          <w:color w:val="0563C1"/>
          <w:spacing w:val="-2"/>
          <w:sz w:val="24"/>
          <w:szCs w:val="24"/>
          <w:u w:val="single" w:color="auto"/>
        </w:rPr>
        <w:t>建筑与市政工程防水通用规范</w:t>
      </w:r>
      <w:r>
        <w:rPr>
          <w:rFonts w:ascii="宋体" w:hAnsi="宋体" w:eastAsia="宋体" w:cs="宋体"/>
          <w:b/>
          <w:bCs/>
          <w:color w:val="EE0000"/>
          <w:spacing w:val="-2"/>
          <w:sz w:val="24"/>
          <w:szCs w:val="24"/>
        </w:rPr>
        <w:t>》替代</w:t>
      </w:r>
    </w:p>
    <w:p w14:paraId="60099E1C">
      <w:pPr>
        <w:spacing w:line="220" w:lineRule="auto"/>
        <w:rPr>
          <w:rFonts w:ascii="宋体" w:hAnsi="宋体" w:eastAsia="宋体" w:cs="宋体"/>
          <w:sz w:val="24"/>
          <w:szCs w:val="24"/>
        </w:rPr>
        <w:sectPr>
          <w:footerReference r:id="rId54" w:type="default"/>
          <w:pgSz w:w="11907" w:h="16839"/>
          <w:pgMar w:top="400" w:right="1489" w:bottom="743" w:left="1421" w:header="0" w:footer="582" w:gutter="0"/>
          <w:cols w:space="720" w:num="1"/>
        </w:sectPr>
      </w:pPr>
    </w:p>
    <w:p w14:paraId="0913BC03">
      <w:pPr>
        <w:pStyle w:val="2"/>
        <w:spacing w:line="303" w:lineRule="auto"/>
      </w:pPr>
    </w:p>
    <w:p w14:paraId="4CFEC14F">
      <w:pPr>
        <w:pStyle w:val="2"/>
        <w:spacing w:line="303" w:lineRule="auto"/>
      </w:pPr>
    </w:p>
    <w:p w14:paraId="2F3A8E45">
      <w:pPr>
        <w:pStyle w:val="2"/>
        <w:spacing w:line="303" w:lineRule="auto"/>
      </w:pPr>
    </w:p>
    <w:p w14:paraId="555E95F8">
      <w:pPr>
        <w:spacing w:before="78" w:line="219" w:lineRule="auto"/>
        <w:ind w:left="9"/>
        <w:rPr>
          <w:rFonts w:ascii="宋体" w:hAnsi="宋体" w:eastAsia="宋体" w:cs="宋体"/>
          <w:sz w:val="24"/>
          <w:szCs w:val="24"/>
        </w:rPr>
      </w:pPr>
      <w:r>
        <w:rPr>
          <w:rFonts w:ascii="Times New Roman" w:hAnsi="Times New Roman" w:eastAsia="Times New Roman" w:cs="Times New Roman"/>
          <w:strike/>
          <w:sz w:val="24"/>
          <w:szCs w:val="24"/>
        </w:rPr>
        <w:t xml:space="preserve">3.2.2    </w:t>
      </w:r>
      <w:r>
        <w:rPr>
          <w:rFonts w:ascii="宋体" w:hAnsi="宋体" w:eastAsia="宋体" w:cs="宋体"/>
          <w:strike/>
          <w:sz w:val="24"/>
          <w:szCs w:val="24"/>
        </w:rPr>
        <w:t>花岗石板材的弯曲强度应经法定检测机构检测确</w:t>
      </w:r>
      <w:r>
        <w:rPr>
          <w:rFonts w:ascii="宋体" w:hAnsi="宋体" w:eastAsia="宋体" w:cs="宋体"/>
          <w:strike/>
          <w:spacing w:val="-1"/>
          <w:sz w:val="24"/>
          <w:szCs w:val="24"/>
        </w:rPr>
        <w:t>定，其弯曲强度不应小于</w:t>
      </w:r>
    </w:p>
    <w:p w14:paraId="26F4BE6B">
      <w:pPr>
        <w:spacing w:before="200" w:line="178" w:lineRule="auto"/>
        <w:ind w:left="14"/>
        <w:rPr>
          <w:rFonts w:ascii="宋体" w:hAnsi="宋体" w:eastAsia="宋体" w:cs="宋体"/>
          <w:sz w:val="24"/>
          <w:szCs w:val="24"/>
        </w:rPr>
      </w:pPr>
      <w:r>
        <w:rPr>
          <w:rFonts w:ascii="Times New Roman" w:hAnsi="Times New Roman" w:eastAsia="Times New Roman" w:cs="Times New Roman"/>
          <w:strike/>
          <w:spacing w:val="-3"/>
          <w:sz w:val="24"/>
          <w:szCs w:val="24"/>
        </w:rPr>
        <w:t>8</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0MPa</w:t>
      </w:r>
      <w:r>
        <w:rPr>
          <w:rFonts w:ascii="Times New Roman" w:hAnsi="Times New Roman" w:eastAsia="Times New Roman" w:cs="Times New Roman"/>
          <w:strike/>
          <w:spacing w:val="-22"/>
          <w:sz w:val="24"/>
          <w:szCs w:val="24"/>
        </w:rPr>
        <w:t xml:space="preserve"> </w:t>
      </w:r>
      <w:r>
        <w:rPr>
          <w:rFonts w:ascii="宋体" w:hAnsi="宋体" w:eastAsia="宋体" w:cs="宋体"/>
          <w:strike/>
          <w:spacing w:val="-3"/>
          <w:sz w:val="24"/>
          <w:szCs w:val="24"/>
        </w:rPr>
        <w:t>。</w:t>
      </w:r>
    </w:p>
    <w:p w14:paraId="5DCDACBC">
      <w:pPr>
        <w:spacing w:before="164" w:line="278" w:lineRule="auto"/>
        <w:ind w:left="9" w:right="179"/>
        <w:rPr>
          <w:rFonts w:ascii="宋体" w:hAnsi="宋体" w:eastAsia="宋体" w:cs="宋体"/>
          <w:sz w:val="24"/>
          <w:szCs w:val="24"/>
        </w:rPr>
      </w:pPr>
      <w:r>
        <w:rPr>
          <w:rFonts w:ascii="Times New Roman" w:hAnsi="Times New Roman" w:eastAsia="Times New Roman" w:cs="Times New Roman"/>
          <w:strike/>
          <w:sz w:val="24"/>
          <w:szCs w:val="24"/>
        </w:rPr>
        <w:t xml:space="preserve">3.5.2    </w:t>
      </w:r>
      <w:r>
        <w:rPr>
          <w:rFonts w:ascii="宋体" w:hAnsi="宋体" w:eastAsia="宋体" w:cs="宋体"/>
          <w:strike/>
          <w:sz w:val="24"/>
          <w:szCs w:val="24"/>
        </w:rPr>
        <w:t>同</w:t>
      </w:r>
      <w:r>
        <w:rPr>
          <w:rFonts w:ascii="宋体" w:hAnsi="宋体" w:eastAsia="宋体" w:cs="宋体"/>
          <w:sz w:val="24"/>
          <w:szCs w:val="24"/>
        </w:rPr>
        <w:t>一</w:t>
      </w:r>
      <w:r>
        <w:rPr>
          <w:rFonts w:ascii="宋体" w:hAnsi="宋体" w:eastAsia="宋体" w:cs="宋体"/>
          <w:strike/>
          <w:sz w:val="24"/>
          <w:szCs w:val="24"/>
        </w:rPr>
        <w:t>幕墙工程应采用同</w:t>
      </w:r>
      <w:r>
        <w:rPr>
          <w:rFonts w:ascii="宋体" w:hAnsi="宋体" w:eastAsia="宋体" w:cs="宋体"/>
          <w:sz w:val="24"/>
          <w:szCs w:val="24"/>
        </w:rPr>
        <w:t>一</w:t>
      </w:r>
      <w:r>
        <w:rPr>
          <w:rFonts w:ascii="宋体" w:hAnsi="宋体" w:eastAsia="宋体" w:cs="宋体"/>
          <w:strike/>
          <w:sz w:val="24"/>
          <w:szCs w:val="24"/>
        </w:rPr>
        <w:t>品牌的单组分或双组分的硅</w:t>
      </w:r>
      <w:r>
        <w:rPr>
          <w:rFonts w:ascii="宋体" w:hAnsi="宋体" w:eastAsia="宋体" w:cs="宋体"/>
          <w:strike/>
          <w:spacing w:val="-1"/>
          <w:sz w:val="24"/>
          <w:szCs w:val="24"/>
        </w:rPr>
        <w:t>酮结构密封胶，并应有保</w:t>
      </w:r>
      <w:r>
        <w:rPr>
          <w:rFonts w:ascii="宋体" w:hAnsi="宋体" w:eastAsia="宋体" w:cs="宋体"/>
          <w:sz w:val="24"/>
          <w:szCs w:val="24"/>
        </w:rPr>
        <w:t xml:space="preserve"> </w:t>
      </w:r>
      <w:r>
        <w:rPr>
          <w:rFonts w:ascii="宋体" w:hAnsi="宋体" w:eastAsia="宋体" w:cs="宋体"/>
          <w:strike/>
          <w:sz w:val="24"/>
          <w:szCs w:val="24"/>
        </w:rPr>
        <w:t>质年限的质量证书。用于石材幕墙的硅酮结构密封胶还应</w:t>
      </w:r>
      <w:r>
        <w:rPr>
          <w:rFonts w:ascii="宋体" w:hAnsi="宋体" w:eastAsia="宋体" w:cs="宋体"/>
          <w:strike/>
          <w:spacing w:val="-1"/>
          <w:sz w:val="24"/>
          <w:szCs w:val="24"/>
        </w:rPr>
        <w:t>有证明无污染的试验报告。</w:t>
      </w:r>
    </w:p>
    <w:p w14:paraId="1907368B">
      <w:pPr>
        <w:spacing w:before="156" w:line="219" w:lineRule="auto"/>
        <w:ind w:left="9"/>
        <w:rPr>
          <w:rFonts w:ascii="宋体" w:hAnsi="宋体" w:eastAsia="宋体" w:cs="宋体"/>
          <w:sz w:val="24"/>
          <w:szCs w:val="24"/>
        </w:rPr>
      </w:pPr>
      <w:r>
        <w:rPr>
          <w:rFonts w:ascii="Times New Roman" w:hAnsi="Times New Roman" w:eastAsia="Times New Roman" w:cs="Times New Roman"/>
          <w:strike/>
          <w:sz w:val="24"/>
          <w:szCs w:val="24"/>
        </w:rPr>
        <w:t xml:space="preserve">3.5.3    </w:t>
      </w:r>
      <w:r>
        <w:rPr>
          <w:rFonts w:ascii="宋体" w:hAnsi="宋体" w:eastAsia="宋体" w:cs="宋体"/>
          <w:strike/>
          <w:sz w:val="24"/>
          <w:szCs w:val="24"/>
        </w:rPr>
        <w:t>同</w:t>
      </w:r>
      <w:r>
        <w:rPr>
          <w:rFonts w:ascii="宋体" w:hAnsi="宋体" w:eastAsia="宋体" w:cs="宋体"/>
          <w:sz w:val="24"/>
          <w:szCs w:val="24"/>
        </w:rPr>
        <w:t>一</w:t>
      </w:r>
      <w:r>
        <w:rPr>
          <w:rFonts w:ascii="宋体" w:hAnsi="宋体" w:eastAsia="宋体" w:cs="宋体"/>
          <w:strike/>
          <w:sz w:val="24"/>
          <w:szCs w:val="24"/>
        </w:rPr>
        <w:t>幕墙工程应采用同</w:t>
      </w:r>
      <w:r>
        <w:rPr>
          <w:rFonts w:ascii="宋体" w:hAnsi="宋体" w:eastAsia="宋体" w:cs="宋体"/>
          <w:sz w:val="24"/>
          <w:szCs w:val="24"/>
        </w:rPr>
        <w:t>一</w:t>
      </w:r>
      <w:r>
        <w:rPr>
          <w:rFonts w:ascii="宋体" w:hAnsi="宋体" w:eastAsia="宋体" w:cs="宋体"/>
          <w:strike/>
          <w:sz w:val="24"/>
          <w:szCs w:val="24"/>
        </w:rPr>
        <w:t>品牌的硅酮结构密封胶和硅</w:t>
      </w:r>
      <w:r>
        <w:rPr>
          <w:rFonts w:ascii="宋体" w:hAnsi="宋体" w:eastAsia="宋体" w:cs="宋体"/>
          <w:strike/>
          <w:spacing w:val="-1"/>
          <w:sz w:val="24"/>
          <w:szCs w:val="24"/>
        </w:rPr>
        <w:t>酮耐候密封胶配套使用。</w:t>
      </w:r>
    </w:p>
    <w:p w14:paraId="6B3DB749">
      <w:pPr>
        <w:spacing w:before="154" w:line="219"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4.2.3    </w:t>
      </w:r>
      <w:r>
        <w:rPr>
          <w:rFonts w:ascii="宋体" w:hAnsi="宋体" w:eastAsia="宋体" w:cs="宋体"/>
          <w:strike/>
          <w:sz w:val="24"/>
          <w:szCs w:val="24"/>
        </w:rPr>
        <w:t>幕墙构架的立柱与横梁在风荷载标准值作用下，钢型材的相对挠</w:t>
      </w:r>
      <w:r>
        <w:rPr>
          <w:rFonts w:ascii="宋体" w:hAnsi="宋体" w:eastAsia="宋体" w:cs="宋体"/>
          <w:strike/>
          <w:spacing w:val="-1"/>
          <w:sz w:val="24"/>
          <w:szCs w:val="24"/>
        </w:rPr>
        <w:t>度不应大于</w:t>
      </w:r>
    </w:p>
    <w:p w14:paraId="2DB0AAF1">
      <w:pPr>
        <w:spacing w:before="156" w:line="279" w:lineRule="auto"/>
        <w:ind w:left="8" w:right="184" w:hanging="4"/>
        <w:rPr>
          <w:rFonts w:ascii="宋体" w:hAnsi="宋体" w:eastAsia="宋体" w:cs="宋体"/>
          <w:sz w:val="24"/>
          <w:szCs w:val="24"/>
        </w:rPr>
      </w:pPr>
      <w:r>
        <w:rPr>
          <w:rFonts w:ascii="Times New Roman" w:hAnsi="Times New Roman" w:eastAsia="Times New Roman" w:cs="Times New Roman"/>
          <w:strike/>
          <w:spacing w:val="-1"/>
          <w:sz w:val="24"/>
          <w:szCs w:val="24"/>
        </w:rPr>
        <w:t>L/300</w:t>
      </w:r>
      <w:r>
        <w:rPr>
          <w:rFonts w:ascii="宋体" w:hAnsi="宋体" w:eastAsia="宋体" w:cs="宋体"/>
          <w:strike/>
          <w:spacing w:val="-1"/>
          <w:sz w:val="24"/>
          <w:szCs w:val="24"/>
        </w:rPr>
        <w:t>（</w:t>
      </w:r>
      <w:r>
        <w:rPr>
          <w:rFonts w:ascii="Times New Roman" w:hAnsi="Times New Roman" w:eastAsia="Times New Roman" w:cs="Times New Roman"/>
          <w:strike/>
          <w:spacing w:val="-1"/>
          <w:sz w:val="24"/>
          <w:szCs w:val="24"/>
        </w:rPr>
        <w:t xml:space="preserve">L </w:t>
      </w:r>
      <w:r>
        <w:rPr>
          <w:rFonts w:ascii="宋体" w:hAnsi="宋体" w:eastAsia="宋体" w:cs="宋体"/>
          <w:strike/>
          <w:spacing w:val="-1"/>
          <w:sz w:val="24"/>
          <w:szCs w:val="24"/>
        </w:rPr>
        <w:t>为立柱或横梁两支点间的跨度），绝对挠度不应大于</w:t>
      </w:r>
      <w:r>
        <w:rPr>
          <w:rFonts w:ascii="宋体" w:hAnsi="宋体" w:eastAsia="宋体" w:cs="宋体"/>
          <w:strike/>
          <w:spacing w:val="-31"/>
          <w:sz w:val="24"/>
          <w:szCs w:val="24"/>
        </w:rPr>
        <w:t xml:space="preserve"> </w:t>
      </w:r>
      <w:r>
        <w:rPr>
          <w:rFonts w:ascii="Times New Roman" w:hAnsi="Times New Roman" w:eastAsia="Times New Roman" w:cs="Times New Roman"/>
          <w:strike/>
          <w:spacing w:val="-2"/>
          <w:sz w:val="24"/>
          <w:szCs w:val="24"/>
        </w:rPr>
        <w:t>15mm</w:t>
      </w:r>
      <w:r>
        <w:rPr>
          <w:rFonts w:ascii="宋体" w:hAnsi="宋体" w:eastAsia="宋体" w:cs="宋体"/>
          <w:strike/>
          <w:spacing w:val="-2"/>
          <w:sz w:val="24"/>
          <w:szCs w:val="24"/>
        </w:rPr>
        <w:t>；铝合金型材的</w:t>
      </w:r>
      <w:r>
        <w:rPr>
          <w:rFonts w:ascii="宋体" w:hAnsi="宋体" w:eastAsia="宋体" w:cs="宋体"/>
          <w:sz w:val="24"/>
          <w:szCs w:val="24"/>
        </w:rPr>
        <w:t xml:space="preserve"> </w:t>
      </w:r>
      <w:r>
        <w:rPr>
          <w:rFonts w:ascii="宋体" w:hAnsi="宋体" w:eastAsia="宋体" w:cs="宋体"/>
          <w:strike/>
          <w:spacing w:val="-1"/>
          <w:sz w:val="24"/>
          <w:szCs w:val="24"/>
        </w:rPr>
        <w:t>相对挠度不应大于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L/180</w:t>
      </w:r>
      <w:r>
        <w:rPr>
          <w:rFonts w:ascii="宋体" w:hAnsi="宋体" w:eastAsia="宋体" w:cs="宋体"/>
          <w:strike/>
          <w:spacing w:val="-1"/>
          <w:sz w:val="24"/>
          <w:szCs w:val="24"/>
        </w:rPr>
        <w:t>，绝对挠度不应</w:t>
      </w:r>
      <w:r>
        <w:rPr>
          <w:rFonts w:ascii="宋体" w:hAnsi="宋体" w:eastAsia="宋体" w:cs="宋体"/>
          <w:strike/>
          <w:spacing w:val="-2"/>
          <w:sz w:val="24"/>
          <w:szCs w:val="24"/>
        </w:rPr>
        <w:t>大于</w:t>
      </w:r>
      <w:r>
        <w:rPr>
          <w:rFonts w:ascii="宋体" w:hAnsi="宋体" w:eastAsia="宋体" w:cs="宋体"/>
          <w:strike/>
          <w:spacing w:val="-41"/>
          <w:sz w:val="24"/>
          <w:szCs w:val="24"/>
        </w:rPr>
        <w:t xml:space="preserve"> </w:t>
      </w:r>
      <w:r>
        <w:rPr>
          <w:rFonts w:ascii="Times New Roman" w:hAnsi="Times New Roman" w:eastAsia="Times New Roman" w:cs="Times New Roman"/>
          <w:strike/>
          <w:spacing w:val="-2"/>
          <w:sz w:val="24"/>
          <w:szCs w:val="24"/>
        </w:rPr>
        <w:t>20mm</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0DD34722">
      <w:pPr>
        <w:spacing w:before="155" w:line="279" w:lineRule="auto"/>
        <w:ind w:left="9" w:right="179" w:hanging="6"/>
        <w:rPr>
          <w:rFonts w:ascii="宋体" w:hAnsi="宋体" w:eastAsia="宋体" w:cs="宋体"/>
          <w:sz w:val="24"/>
          <w:szCs w:val="24"/>
        </w:rPr>
      </w:pPr>
      <w:r>
        <w:rPr>
          <w:rFonts w:ascii="Times New Roman" w:hAnsi="Times New Roman" w:eastAsia="Times New Roman" w:cs="Times New Roman"/>
          <w:strike/>
          <w:sz w:val="24"/>
          <w:szCs w:val="24"/>
        </w:rPr>
        <w:t xml:space="preserve">4.2.4    </w:t>
      </w:r>
      <w:r>
        <w:rPr>
          <w:rFonts w:ascii="宋体" w:hAnsi="宋体" w:eastAsia="宋体" w:cs="宋体"/>
          <w:strike/>
          <w:sz w:val="24"/>
          <w:szCs w:val="24"/>
        </w:rPr>
        <w:t>幕墙在风荷载标准值除以阵风系数后的风荷载值作用下，不应发生</w:t>
      </w:r>
      <w:r>
        <w:rPr>
          <w:rFonts w:ascii="宋体" w:hAnsi="宋体" w:eastAsia="宋体" w:cs="宋体"/>
          <w:strike/>
          <w:spacing w:val="-1"/>
          <w:sz w:val="24"/>
          <w:szCs w:val="24"/>
        </w:rPr>
        <w:t>雨水渗漏。</w:t>
      </w:r>
      <w:r>
        <w:rPr>
          <w:rFonts w:ascii="宋体" w:hAnsi="宋体" w:eastAsia="宋体" w:cs="宋体"/>
          <w:sz w:val="24"/>
          <w:szCs w:val="24"/>
        </w:rPr>
        <w:t xml:space="preserve"> </w:t>
      </w:r>
      <w:r>
        <w:rPr>
          <w:rFonts w:ascii="宋体" w:hAnsi="宋体" w:eastAsia="宋体" w:cs="宋体"/>
          <w:strike/>
          <w:spacing w:val="-1"/>
          <w:sz w:val="24"/>
          <w:szCs w:val="24"/>
        </w:rPr>
        <w:t>其雨水渗漏性能应符合设计要求。</w:t>
      </w:r>
    </w:p>
    <w:p w14:paraId="0148F7E8">
      <w:pPr>
        <w:spacing w:before="154" w:line="219" w:lineRule="auto"/>
        <w:ind w:left="11"/>
        <w:rPr>
          <w:rFonts w:ascii="宋体" w:hAnsi="宋体" w:eastAsia="宋体" w:cs="宋体"/>
          <w:sz w:val="24"/>
          <w:szCs w:val="24"/>
        </w:rPr>
      </w:pPr>
      <w:r>
        <w:rPr>
          <w:rFonts w:ascii="Times New Roman" w:hAnsi="Times New Roman" w:eastAsia="Times New Roman" w:cs="Times New Roman"/>
          <w:strike/>
          <w:spacing w:val="-1"/>
          <w:sz w:val="24"/>
          <w:szCs w:val="24"/>
        </w:rPr>
        <w:t xml:space="preserve">5.2.3    </w:t>
      </w:r>
      <w:r>
        <w:rPr>
          <w:rFonts w:ascii="宋体" w:hAnsi="宋体" w:eastAsia="宋体" w:cs="宋体"/>
          <w:strike/>
          <w:spacing w:val="-1"/>
          <w:sz w:val="24"/>
          <w:szCs w:val="24"/>
        </w:rPr>
        <w:t>作用于幕墙上的风荷载标准值应按下式计算，且不应小于</w:t>
      </w:r>
      <w:r>
        <w:rPr>
          <w:rFonts w:ascii="宋体" w:hAnsi="宋体" w:eastAsia="宋体" w:cs="宋体"/>
          <w:strike/>
          <w:spacing w:val="-25"/>
          <w:sz w:val="24"/>
          <w:szCs w:val="24"/>
        </w:rPr>
        <w:t xml:space="preserve"> </w:t>
      </w:r>
      <w:r>
        <w:rPr>
          <w:rFonts w:ascii="Times New Roman" w:hAnsi="Times New Roman" w:eastAsia="Times New Roman" w:cs="Times New Roman"/>
          <w:strike/>
          <w:spacing w:val="-1"/>
          <w:sz w:val="24"/>
          <w:szCs w:val="24"/>
        </w:rPr>
        <w:t>1</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0kN/m</w:t>
      </w:r>
      <w:r>
        <w:rPr>
          <w:rFonts w:ascii="Times New Roman" w:hAnsi="Times New Roman" w:eastAsia="Times New Roman" w:cs="Times New Roman"/>
          <w:strike/>
          <w:spacing w:val="-1"/>
          <w:position w:val="8"/>
          <w:sz w:val="15"/>
          <w:szCs w:val="15"/>
        </w:rPr>
        <w:t>2</w:t>
      </w:r>
      <w:r>
        <w:rPr>
          <w:rFonts w:ascii="Times New Roman" w:hAnsi="Times New Roman" w:eastAsia="Times New Roman" w:cs="Times New Roman"/>
          <w:strike/>
          <w:spacing w:val="-7"/>
          <w:position w:val="8"/>
          <w:sz w:val="15"/>
          <w:szCs w:val="15"/>
        </w:rPr>
        <w:t xml:space="preserve"> </w:t>
      </w:r>
      <w:r>
        <w:rPr>
          <w:rFonts w:ascii="宋体" w:hAnsi="宋体" w:eastAsia="宋体" w:cs="宋体"/>
          <w:strike/>
          <w:spacing w:val="-1"/>
          <w:sz w:val="24"/>
          <w:szCs w:val="24"/>
        </w:rPr>
        <w:t>：</w:t>
      </w:r>
    </w:p>
    <w:p w14:paraId="6D03AF3E">
      <w:pPr>
        <w:pStyle w:val="2"/>
        <w:tabs>
          <w:tab w:val="left" w:pos="2752"/>
        </w:tabs>
        <w:spacing w:before="126" w:line="287" w:lineRule="auto"/>
        <w:ind w:left="14" w:right="2693" w:firstLine="2691"/>
        <w:rPr>
          <w:rFonts w:ascii="宋体" w:hAnsi="宋体" w:eastAsia="宋体" w:cs="宋体"/>
          <w:sz w:val="24"/>
          <w:szCs w:val="24"/>
        </w:rPr>
      </w:pPr>
      <w:r>
        <w:rPr>
          <w:i/>
          <w:iCs/>
          <w:strike/>
          <w:sz w:val="25"/>
          <w:szCs w:val="25"/>
        </w:rPr>
        <w:tab/>
      </w:r>
      <w:r>
        <w:rPr>
          <w:i/>
          <w:iCs/>
          <w:strike/>
          <w:spacing w:val="-6"/>
          <w:w w:val="83"/>
          <w:sz w:val="25"/>
          <w:szCs w:val="25"/>
        </w:rPr>
        <w:t>ω</w:t>
      </w:r>
      <w:r>
        <w:rPr>
          <w:rFonts w:ascii="Times New Roman" w:hAnsi="Times New Roman" w:eastAsia="Times New Roman" w:cs="Times New Roman"/>
          <w:spacing w:val="-5"/>
          <w:position w:val="-5"/>
          <w:sz w:val="13"/>
          <w:szCs w:val="13"/>
        </w:rPr>
        <w:t>k</w:t>
      </w:r>
      <w:r>
        <w:rPr>
          <w:strike/>
          <w:spacing w:val="42"/>
          <w:sz w:val="23"/>
          <w:szCs w:val="23"/>
        </w:rPr>
        <w:t xml:space="preserve"> </w:t>
      </w:r>
      <w:r>
        <w:rPr>
          <w:strike/>
          <w:spacing w:val="-5"/>
          <w:sz w:val="23"/>
          <w:szCs w:val="23"/>
        </w:rPr>
        <w:t>=</w:t>
      </w:r>
      <w:r>
        <w:rPr>
          <w:strike/>
          <w:spacing w:val="40"/>
          <w:sz w:val="23"/>
          <w:szCs w:val="23"/>
        </w:rPr>
        <w:t xml:space="preserve"> </w:t>
      </w:r>
      <w:r>
        <w:rPr>
          <w:i/>
          <w:iCs/>
          <w:strike/>
          <w:spacing w:val="-13"/>
          <w:sz w:val="25"/>
          <w:szCs w:val="25"/>
        </w:rPr>
        <w:t>β</w:t>
      </w:r>
      <w:r>
        <w:rPr>
          <w:rFonts w:ascii="Times New Roman" w:hAnsi="Times New Roman" w:eastAsia="Times New Roman" w:cs="Times New Roman"/>
          <w:i/>
          <w:iCs/>
          <w:spacing w:val="-1"/>
          <w:position w:val="-5"/>
          <w:sz w:val="13"/>
          <w:szCs w:val="13"/>
        </w:rPr>
        <w:t>gz</w:t>
      </w:r>
      <w:r>
        <w:rPr>
          <w:i/>
          <w:iCs/>
          <w:strike/>
          <w:spacing w:val="-20"/>
          <w:sz w:val="25"/>
          <w:szCs w:val="25"/>
        </w:rPr>
        <w:t xml:space="preserve"> </w:t>
      </w:r>
      <w:r>
        <w:rPr>
          <w:i/>
          <w:iCs/>
          <w:strike/>
          <w:spacing w:val="-2"/>
          <w:sz w:val="25"/>
          <w:szCs w:val="25"/>
        </w:rPr>
        <w:t>µ</w:t>
      </w:r>
      <w:r>
        <w:rPr>
          <w:rFonts w:ascii="Times New Roman" w:hAnsi="Times New Roman" w:eastAsia="Times New Roman" w:cs="Times New Roman"/>
          <w:i/>
          <w:iCs/>
          <w:spacing w:val="-2"/>
          <w:position w:val="-5"/>
          <w:sz w:val="13"/>
          <w:szCs w:val="13"/>
        </w:rPr>
        <w:t>z</w:t>
      </w:r>
      <w:r>
        <w:rPr>
          <w:i/>
          <w:iCs/>
          <w:strike/>
          <w:spacing w:val="-20"/>
          <w:sz w:val="25"/>
          <w:szCs w:val="25"/>
        </w:rPr>
        <w:t xml:space="preserve"> </w:t>
      </w:r>
      <w:r>
        <w:rPr>
          <w:i/>
          <w:iCs/>
          <w:strike/>
          <w:spacing w:val="-2"/>
          <w:sz w:val="25"/>
          <w:szCs w:val="25"/>
        </w:rPr>
        <w:t>µ</w:t>
      </w:r>
      <w:r>
        <w:rPr>
          <w:rFonts w:ascii="Times New Roman" w:hAnsi="Times New Roman" w:eastAsia="Times New Roman" w:cs="Times New Roman"/>
          <w:i/>
          <w:iCs/>
          <w:spacing w:val="-2"/>
          <w:position w:val="-5"/>
          <w:sz w:val="13"/>
          <w:szCs w:val="13"/>
        </w:rPr>
        <w:t>s</w:t>
      </w:r>
      <w:r>
        <w:rPr>
          <w:i/>
          <w:iCs/>
          <w:strike/>
          <w:spacing w:val="-34"/>
          <w:sz w:val="25"/>
          <w:szCs w:val="25"/>
        </w:rPr>
        <w:t xml:space="preserve"> </w:t>
      </w:r>
      <w:r>
        <w:rPr>
          <w:i/>
          <w:iCs/>
          <w:strike/>
          <w:spacing w:val="-6"/>
          <w:w w:val="84"/>
          <w:sz w:val="25"/>
          <w:szCs w:val="25"/>
        </w:rPr>
        <w:t>ω</w:t>
      </w:r>
      <w:r>
        <w:rPr>
          <w:rFonts w:ascii="Times New Roman" w:hAnsi="Times New Roman" w:eastAsia="Times New Roman" w:cs="Times New Roman"/>
          <w:spacing w:val="-5"/>
          <w:position w:val="-5"/>
          <w:sz w:val="13"/>
          <w:szCs w:val="13"/>
        </w:rPr>
        <w:t>0</w:t>
      </w:r>
      <w:r>
        <w:rPr>
          <w:rFonts w:ascii="宋体" w:hAnsi="宋体" w:eastAsia="宋体" w:cs="宋体"/>
          <w:strike/>
          <w:spacing w:val="4"/>
          <w:sz w:val="24"/>
          <w:szCs w:val="24"/>
        </w:rPr>
        <w:t xml:space="preserve">         </w:t>
      </w:r>
      <w:r>
        <w:rPr>
          <w:rFonts w:ascii="宋体" w:hAnsi="宋体" w:eastAsia="宋体" w:cs="宋体"/>
          <w:strike/>
          <w:spacing w:val="-5"/>
          <w:sz w:val="24"/>
          <w:szCs w:val="24"/>
        </w:rPr>
        <w:t>（</w:t>
      </w:r>
      <w:r>
        <w:rPr>
          <w:rFonts w:ascii="Times New Roman" w:hAnsi="Times New Roman" w:eastAsia="Times New Roman" w:cs="Times New Roman"/>
          <w:strike/>
          <w:spacing w:val="-5"/>
          <w:sz w:val="24"/>
          <w:szCs w:val="24"/>
        </w:rPr>
        <w:t>5.2.3</w:t>
      </w:r>
      <w:r>
        <w:rPr>
          <w:rFonts w:ascii="Times New Roman" w:hAnsi="Times New Roman" w:eastAsia="Times New Roman" w:cs="Times New Roman"/>
          <w:strike/>
          <w:spacing w:val="-21"/>
          <w:sz w:val="24"/>
          <w:szCs w:val="24"/>
        </w:rPr>
        <w:t xml:space="preserve"> </w:t>
      </w:r>
      <w:r>
        <w:rPr>
          <w:rFonts w:ascii="宋体" w:hAnsi="宋体" w:eastAsia="宋体" w:cs="宋体"/>
          <w:strike/>
          <w:spacing w:val="-5"/>
          <w:sz w:val="24"/>
          <w:szCs w:val="24"/>
        </w:rPr>
        <w:t>）</w:t>
      </w:r>
      <w:r>
        <w:rPr>
          <w:rFonts w:ascii="宋体" w:hAnsi="宋体" w:eastAsia="宋体" w:cs="宋体"/>
          <w:sz w:val="24"/>
          <w:szCs w:val="24"/>
        </w:rPr>
        <w:t xml:space="preserve"> </w:t>
      </w:r>
      <w:r>
        <w:rPr>
          <w:rFonts w:ascii="宋体" w:hAnsi="宋体" w:eastAsia="宋体" w:cs="宋体"/>
          <w:strike/>
          <w:spacing w:val="-2"/>
          <w:sz w:val="24"/>
          <w:szCs w:val="24"/>
        </w:rPr>
        <w:t>式中：</w:t>
      </w:r>
      <w:r>
        <w:rPr>
          <w:rFonts w:ascii="宋体" w:hAnsi="宋体" w:eastAsia="宋体" w:cs="宋体"/>
          <w:strike/>
          <w:spacing w:val="-70"/>
          <w:sz w:val="24"/>
          <w:szCs w:val="24"/>
        </w:rPr>
        <w:t xml:space="preserve"> </w:t>
      </w:r>
      <w:r>
        <w:rPr>
          <w:i/>
          <w:iCs/>
          <w:strike/>
          <w:spacing w:val="-2"/>
          <w:sz w:val="25"/>
          <w:szCs w:val="25"/>
        </w:rPr>
        <w:t>ω</w:t>
      </w:r>
      <w:r>
        <w:rPr>
          <w:rFonts w:ascii="Times New Roman" w:hAnsi="Times New Roman" w:eastAsia="Times New Roman" w:cs="Times New Roman"/>
          <w:spacing w:val="-2"/>
          <w:position w:val="-5"/>
          <w:sz w:val="14"/>
          <w:szCs w:val="14"/>
        </w:rPr>
        <w:t>k</w:t>
      </w:r>
      <w:r>
        <w:rPr>
          <w:rFonts w:ascii="Times New Roman" w:hAnsi="Times New Roman" w:eastAsia="Times New Roman" w:cs="Times New Roman"/>
          <w:strike/>
          <w:spacing w:val="24"/>
          <w:position w:val="-5"/>
          <w:sz w:val="14"/>
          <w:szCs w:val="14"/>
        </w:rPr>
        <w:t xml:space="preserve"> </w:t>
      </w:r>
      <w:r>
        <w:rPr>
          <w:rFonts w:ascii="宋体" w:hAnsi="宋体" w:eastAsia="宋体" w:cs="宋体"/>
          <w:spacing w:val="-2"/>
          <w:sz w:val="24"/>
          <w:szCs w:val="24"/>
        </w:rPr>
        <w:t>——</w:t>
      </w:r>
      <w:r>
        <w:rPr>
          <w:rFonts w:ascii="宋体" w:hAnsi="宋体" w:eastAsia="宋体" w:cs="宋体"/>
          <w:strike/>
          <w:spacing w:val="-2"/>
          <w:sz w:val="24"/>
          <w:szCs w:val="24"/>
        </w:rPr>
        <w:t>坐拥与幕墙上的风荷载标准值（</w:t>
      </w:r>
      <w:r>
        <w:rPr>
          <w:rFonts w:ascii="Times New Roman" w:hAnsi="Times New Roman" w:eastAsia="Times New Roman" w:cs="Times New Roman"/>
          <w:strike/>
          <w:spacing w:val="-2"/>
          <w:sz w:val="24"/>
          <w:szCs w:val="24"/>
        </w:rPr>
        <w:t>kN/m</w:t>
      </w:r>
      <w:r>
        <w:rPr>
          <w:rFonts w:ascii="Times New Roman" w:hAnsi="Times New Roman" w:eastAsia="Times New Roman" w:cs="Times New Roman"/>
          <w:strike/>
          <w:spacing w:val="-2"/>
          <w:position w:val="8"/>
          <w:sz w:val="15"/>
          <w:szCs w:val="15"/>
        </w:rPr>
        <w:t>2</w:t>
      </w:r>
      <w:r>
        <w:rPr>
          <w:rFonts w:ascii="宋体" w:hAnsi="宋体" w:eastAsia="宋体" w:cs="宋体"/>
          <w:strike/>
          <w:spacing w:val="-1"/>
          <w:sz w:val="24"/>
          <w:szCs w:val="24"/>
        </w:rPr>
        <w:t>）；</w:t>
      </w:r>
    </w:p>
    <w:p w14:paraId="37D28710">
      <w:pPr>
        <w:pStyle w:val="2"/>
        <w:tabs>
          <w:tab w:val="left" w:pos="600"/>
        </w:tabs>
        <w:spacing w:before="116" w:line="326" w:lineRule="exact"/>
        <w:rPr>
          <w:rFonts w:ascii="宋体" w:hAnsi="宋体" w:eastAsia="宋体" w:cs="宋体"/>
          <w:sz w:val="24"/>
          <w:szCs w:val="24"/>
        </w:rPr>
      </w:pPr>
      <w:r>
        <w:rPr>
          <w:i/>
          <w:iCs/>
          <w:strike/>
          <w:position w:val="4"/>
          <w:sz w:val="24"/>
          <w:szCs w:val="24"/>
        </w:rPr>
        <w:tab/>
      </w:r>
      <w:r>
        <w:rPr>
          <w:i/>
          <w:iCs/>
          <w:strike/>
          <w:spacing w:val="14"/>
          <w:position w:val="4"/>
          <w:sz w:val="24"/>
          <w:szCs w:val="24"/>
        </w:rPr>
        <w:t xml:space="preserve"> </w:t>
      </w:r>
      <w:r>
        <w:rPr>
          <w:i/>
          <w:iCs/>
          <w:strike/>
          <w:spacing w:val="-2"/>
          <w:position w:val="4"/>
          <w:sz w:val="24"/>
          <w:szCs w:val="24"/>
        </w:rPr>
        <w:t>β</w:t>
      </w:r>
      <w:r>
        <w:rPr>
          <w:rFonts w:ascii="Times New Roman" w:hAnsi="Times New Roman" w:eastAsia="Times New Roman" w:cs="Times New Roman"/>
          <w:spacing w:val="-2"/>
          <w:position w:val="-1"/>
          <w:sz w:val="13"/>
          <w:szCs w:val="13"/>
        </w:rPr>
        <w:t>gz</w:t>
      </w:r>
      <w:r>
        <w:rPr>
          <w:rFonts w:ascii="Times New Roman" w:hAnsi="Times New Roman" w:eastAsia="Times New Roman" w:cs="Times New Roman"/>
          <w:strike/>
          <w:spacing w:val="29"/>
          <w:w w:val="101"/>
          <w:position w:val="-1"/>
          <w:sz w:val="13"/>
          <w:szCs w:val="13"/>
        </w:rPr>
        <w:t xml:space="preserve"> </w:t>
      </w:r>
      <w:r>
        <w:rPr>
          <w:rFonts w:ascii="宋体" w:hAnsi="宋体" w:eastAsia="宋体" w:cs="宋体"/>
          <w:spacing w:val="-2"/>
          <w:position w:val="4"/>
          <w:sz w:val="24"/>
          <w:szCs w:val="24"/>
        </w:rPr>
        <w:t>——</w:t>
      </w:r>
      <w:r>
        <w:rPr>
          <w:rFonts w:ascii="宋体" w:hAnsi="宋体" w:eastAsia="宋体" w:cs="宋体"/>
          <w:strike/>
          <w:spacing w:val="-2"/>
          <w:position w:val="4"/>
          <w:sz w:val="24"/>
          <w:szCs w:val="24"/>
        </w:rPr>
        <w:t>阵风系数，可取</w:t>
      </w:r>
      <w:r>
        <w:rPr>
          <w:rFonts w:ascii="宋体" w:hAnsi="宋体" w:eastAsia="宋体" w:cs="宋体"/>
          <w:strike/>
          <w:spacing w:val="-55"/>
          <w:position w:val="4"/>
          <w:sz w:val="24"/>
          <w:szCs w:val="24"/>
        </w:rPr>
        <w:t xml:space="preserve"> </w:t>
      </w:r>
      <w:r>
        <w:rPr>
          <w:rFonts w:ascii="Times New Roman" w:hAnsi="Times New Roman" w:eastAsia="Times New Roman" w:cs="Times New Roman"/>
          <w:strike/>
          <w:spacing w:val="-2"/>
          <w:position w:val="4"/>
          <w:sz w:val="24"/>
          <w:szCs w:val="24"/>
        </w:rPr>
        <w:t>2.25</w:t>
      </w:r>
      <w:r>
        <w:rPr>
          <w:rFonts w:ascii="Times New Roman" w:hAnsi="Times New Roman" w:eastAsia="Times New Roman" w:cs="Times New Roman"/>
          <w:strike/>
          <w:spacing w:val="-30"/>
          <w:position w:val="4"/>
          <w:sz w:val="24"/>
          <w:szCs w:val="24"/>
        </w:rPr>
        <w:t xml:space="preserve"> </w:t>
      </w:r>
      <w:r>
        <w:rPr>
          <w:rFonts w:ascii="宋体" w:hAnsi="宋体" w:eastAsia="宋体" w:cs="宋体"/>
          <w:strike/>
          <w:spacing w:val="-2"/>
          <w:position w:val="4"/>
          <w:sz w:val="24"/>
          <w:szCs w:val="24"/>
        </w:rPr>
        <w:t>；</w:t>
      </w:r>
    </w:p>
    <w:p w14:paraId="7B7B461F">
      <w:pPr>
        <w:pStyle w:val="2"/>
        <w:tabs>
          <w:tab w:val="left" w:pos="600"/>
        </w:tabs>
        <w:spacing w:before="140" w:line="294" w:lineRule="auto"/>
        <w:ind w:left="11" w:right="120" w:hanging="11"/>
        <w:rPr>
          <w:rFonts w:ascii="宋体" w:hAnsi="宋体" w:eastAsia="宋体" w:cs="宋体"/>
          <w:sz w:val="24"/>
          <w:szCs w:val="24"/>
        </w:rPr>
      </w:pPr>
      <w:r>
        <w:rPr>
          <w:i/>
          <w:iCs/>
          <w:strike/>
          <w:sz w:val="25"/>
          <w:szCs w:val="25"/>
        </w:rPr>
        <w:tab/>
      </w:r>
      <w:r>
        <w:rPr>
          <w:i/>
          <w:iCs/>
          <w:strike/>
          <w:sz w:val="25"/>
          <w:szCs w:val="25"/>
        </w:rPr>
        <w:tab/>
      </w:r>
      <w:r>
        <w:rPr>
          <w:i/>
          <w:iCs/>
          <w:strike/>
          <w:spacing w:val="-8"/>
          <w:sz w:val="25"/>
          <w:szCs w:val="25"/>
        </w:rPr>
        <w:t xml:space="preserve"> </w:t>
      </w:r>
      <w:r>
        <w:rPr>
          <w:i/>
          <w:iCs/>
          <w:strike/>
          <w:sz w:val="25"/>
          <w:szCs w:val="25"/>
        </w:rPr>
        <w:t>µ</w:t>
      </w:r>
      <w:r>
        <w:rPr>
          <w:rFonts w:ascii="Times New Roman" w:hAnsi="Times New Roman" w:eastAsia="Times New Roman" w:cs="Times New Roman"/>
          <w:i/>
          <w:iCs/>
          <w:position w:val="-6"/>
          <w:sz w:val="14"/>
          <w:szCs w:val="14"/>
        </w:rPr>
        <w:t>s</w:t>
      </w:r>
      <w:r>
        <w:rPr>
          <w:rFonts w:ascii="Times New Roman" w:hAnsi="Times New Roman" w:eastAsia="Times New Roman" w:cs="Times New Roman"/>
          <w:i/>
          <w:iCs/>
          <w:strike/>
          <w:spacing w:val="20"/>
          <w:position w:val="-6"/>
          <w:sz w:val="14"/>
          <w:szCs w:val="14"/>
        </w:rPr>
        <w:t xml:space="preserve"> </w:t>
      </w:r>
      <w:r>
        <w:rPr>
          <w:rFonts w:ascii="宋体" w:hAnsi="宋体" w:eastAsia="宋体" w:cs="宋体"/>
          <w:sz w:val="24"/>
          <w:szCs w:val="24"/>
        </w:rPr>
        <w:t>——</w:t>
      </w:r>
      <w:r>
        <w:rPr>
          <w:rFonts w:ascii="宋体" w:hAnsi="宋体" w:eastAsia="宋体" w:cs="宋体"/>
          <w:strike/>
          <w:sz w:val="24"/>
          <w:szCs w:val="24"/>
        </w:rPr>
        <w:t>风荷载体型系数。竖直幕墙外表面可按±</w:t>
      </w:r>
      <w:r>
        <w:rPr>
          <w:rFonts w:ascii="Times New Roman" w:hAnsi="Times New Roman" w:eastAsia="Times New Roman" w:cs="Times New Roman"/>
          <w:strike/>
          <w:spacing w:val="-1"/>
          <w:sz w:val="24"/>
          <w:szCs w:val="24"/>
        </w:rPr>
        <w:t xml:space="preserve">1.5 </w:t>
      </w:r>
      <w:r>
        <w:rPr>
          <w:rFonts w:ascii="宋体" w:hAnsi="宋体" w:eastAsia="宋体" w:cs="宋体"/>
          <w:strike/>
          <w:spacing w:val="-1"/>
          <w:sz w:val="24"/>
          <w:szCs w:val="24"/>
        </w:rPr>
        <w:t>采用，斜幕墙风荷载体型系</w:t>
      </w:r>
      <w:r>
        <w:rPr>
          <w:rFonts w:ascii="宋体" w:hAnsi="宋体" w:eastAsia="宋体" w:cs="宋体"/>
          <w:sz w:val="24"/>
          <w:szCs w:val="24"/>
        </w:rPr>
        <w:t xml:space="preserve"> </w:t>
      </w:r>
      <w:r>
        <w:rPr>
          <w:rFonts w:ascii="宋体" w:hAnsi="宋体" w:eastAsia="宋体" w:cs="宋体"/>
          <w:strike/>
          <w:spacing w:val="-1"/>
          <w:sz w:val="24"/>
          <w:szCs w:val="24"/>
        </w:rPr>
        <w:t>数可根据实际情况，按现行国家标准《建筑结构荷载规范》（</w:t>
      </w:r>
      <w:r>
        <w:rPr>
          <w:rFonts w:ascii="Times New Roman" w:hAnsi="Times New Roman" w:eastAsia="Times New Roman" w:cs="Times New Roman"/>
          <w:strike/>
          <w:spacing w:val="-1"/>
          <w:sz w:val="24"/>
          <w:szCs w:val="24"/>
        </w:rPr>
        <w:t>GBJ9</w:t>
      </w:r>
      <w:r>
        <w:rPr>
          <w:rFonts w:ascii="宋体" w:hAnsi="宋体" w:eastAsia="宋体" w:cs="宋体"/>
          <w:strike/>
          <w:spacing w:val="-1"/>
          <w:sz w:val="24"/>
          <w:szCs w:val="24"/>
        </w:rPr>
        <w:t>）的规定采用。当</w:t>
      </w:r>
      <w:r>
        <w:rPr>
          <w:rFonts w:ascii="宋体" w:hAnsi="宋体" w:eastAsia="宋体" w:cs="宋体"/>
          <w:spacing w:val="4"/>
          <w:sz w:val="24"/>
          <w:szCs w:val="24"/>
        </w:rPr>
        <w:t xml:space="preserve"> </w:t>
      </w:r>
      <w:r>
        <w:rPr>
          <w:rFonts w:ascii="宋体" w:hAnsi="宋体" w:eastAsia="宋体" w:cs="宋体"/>
          <w:strike/>
          <w:sz w:val="24"/>
          <w:szCs w:val="24"/>
        </w:rPr>
        <w:t>建筑物进行了风洞试验时，幕墙的风墙荷载体型系数</w:t>
      </w:r>
      <w:r>
        <w:rPr>
          <w:rFonts w:ascii="宋体" w:hAnsi="宋体" w:eastAsia="宋体" w:cs="宋体"/>
          <w:strike/>
          <w:spacing w:val="-1"/>
          <w:sz w:val="24"/>
          <w:szCs w:val="24"/>
        </w:rPr>
        <w:t>可根据风洞试验结果确定；</w:t>
      </w:r>
    </w:p>
    <w:p w14:paraId="24904702">
      <w:pPr>
        <w:pStyle w:val="2"/>
        <w:tabs>
          <w:tab w:val="left" w:pos="600"/>
        </w:tabs>
        <w:spacing w:before="154" w:line="275" w:lineRule="auto"/>
        <w:ind w:left="29" w:right="172" w:hanging="29"/>
        <w:rPr>
          <w:rFonts w:ascii="宋体" w:hAnsi="宋体" w:eastAsia="宋体" w:cs="宋体"/>
          <w:sz w:val="24"/>
          <w:szCs w:val="24"/>
        </w:rPr>
      </w:pPr>
      <w:r>
        <w:rPr>
          <w:i/>
          <w:iCs/>
          <w:strike/>
          <w:sz w:val="25"/>
          <w:szCs w:val="25"/>
        </w:rPr>
        <w:tab/>
      </w:r>
      <w:r>
        <w:rPr>
          <w:i/>
          <w:iCs/>
          <w:strike/>
          <w:sz w:val="25"/>
          <w:szCs w:val="25"/>
        </w:rPr>
        <w:tab/>
      </w:r>
      <w:r>
        <w:rPr>
          <w:i/>
          <w:iCs/>
          <w:strike/>
          <w:spacing w:val="-7"/>
          <w:sz w:val="25"/>
          <w:szCs w:val="25"/>
        </w:rPr>
        <w:t xml:space="preserve"> </w:t>
      </w:r>
      <w:r>
        <w:rPr>
          <w:i/>
          <w:iCs/>
          <w:strike/>
          <w:spacing w:val="-1"/>
          <w:sz w:val="25"/>
          <w:szCs w:val="25"/>
        </w:rPr>
        <w:t>µ</w:t>
      </w:r>
      <w:r>
        <w:rPr>
          <w:rFonts w:ascii="Times New Roman" w:hAnsi="Times New Roman" w:eastAsia="Times New Roman" w:cs="Times New Roman"/>
          <w:i/>
          <w:iCs/>
          <w:spacing w:val="-1"/>
          <w:position w:val="-5"/>
          <w:sz w:val="14"/>
          <w:szCs w:val="14"/>
        </w:rPr>
        <w:t>z</w:t>
      </w:r>
      <w:r>
        <w:rPr>
          <w:rFonts w:ascii="Times New Roman" w:hAnsi="Times New Roman" w:eastAsia="Times New Roman" w:cs="Times New Roman"/>
          <w:i/>
          <w:iCs/>
          <w:strike/>
          <w:spacing w:val="14"/>
          <w:w w:val="101"/>
          <w:position w:val="-5"/>
          <w:sz w:val="14"/>
          <w:szCs w:val="14"/>
        </w:rPr>
        <w:t xml:space="preserve"> </w:t>
      </w:r>
      <w:r>
        <w:rPr>
          <w:rFonts w:ascii="宋体" w:hAnsi="宋体" w:eastAsia="宋体" w:cs="宋体"/>
          <w:spacing w:val="-1"/>
          <w:sz w:val="24"/>
          <w:szCs w:val="24"/>
        </w:rPr>
        <w:t>——</w:t>
      </w:r>
      <w:r>
        <w:rPr>
          <w:rFonts w:ascii="宋体" w:hAnsi="宋体" w:eastAsia="宋体" w:cs="宋体"/>
          <w:strike/>
          <w:spacing w:val="-1"/>
          <w:sz w:val="24"/>
          <w:szCs w:val="24"/>
        </w:rPr>
        <w:t>风压高度变化系数，应按现行国家标准《建筑结构荷载</w:t>
      </w:r>
      <w:r>
        <w:rPr>
          <w:rFonts w:ascii="宋体" w:hAnsi="宋体" w:eastAsia="宋体" w:cs="宋体"/>
          <w:strike/>
          <w:spacing w:val="-2"/>
          <w:sz w:val="24"/>
          <w:szCs w:val="24"/>
        </w:rPr>
        <w:t>规范》（</w:t>
      </w:r>
      <w:r>
        <w:rPr>
          <w:rFonts w:ascii="Times New Roman" w:hAnsi="Times New Roman" w:eastAsia="Times New Roman" w:cs="Times New Roman"/>
          <w:strike/>
          <w:spacing w:val="-2"/>
          <w:sz w:val="24"/>
          <w:szCs w:val="24"/>
        </w:rPr>
        <w:t>GBJ9</w:t>
      </w:r>
      <w:r>
        <w:rPr>
          <w:rFonts w:ascii="Times New Roman" w:hAnsi="Times New Roman" w:eastAsia="Times New Roman" w:cs="Times New Roman"/>
          <w:strike/>
          <w:spacing w:val="-25"/>
          <w:sz w:val="24"/>
          <w:szCs w:val="24"/>
        </w:rPr>
        <w:t xml:space="preserve"> </w:t>
      </w:r>
      <w:r>
        <w:rPr>
          <w:rFonts w:ascii="宋体" w:hAnsi="宋体" w:eastAsia="宋体" w:cs="宋体"/>
          <w:strike/>
          <w:spacing w:val="-2"/>
          <w:sz w:val="24"/>
          <w:szCs w:val="24"/>
        </w:rPr>
        <w:t>）</w:t>
      </w:r>
      <w:r>
        <w:rPr>
          <w:rFonts w:ascii="宋体" w:hAnsi="宋体" w:eastAsia="宋体" w:cs="宋体"/>
          <w:sz w:val="24"/>
          <w:szCs w:val="24"/>
        </w:rPr>
        <w:t xml:space="preserve"> </w:t>
      </w:r>
      <w:r>
        <w:rPr>
          <w:rFonts w:ascii="宋体" w:hAnsi="宋体" w:eastAsia="宋体" w:cs="宋体"/>
          <w:strike/>
          <w:spacing w:val="-5"/>
          <w:sz w:val="24"/>
          <w:szCs w:val="24"/>
        </w:rPr>
        <w:t>的规定采用；</w:t>
      </w:r>
    </w:p>
    <w:p w14:paraId="51381763">
      <w:pPr>
        <w:pStyle w:val="2"/>
        <w:tabs>
          <w:tab w:val="left" w:pos="135"/>
          <w:tab w:val="left" w:pos="600"/>
        </w:tabs>
        <w:spacing w:before="157" w:line="270" w:lineRule="auto"/>
        <w:ind w:right="573"/>
        <w:rPr>
          <w:rFonts w:ascii="宋体" w:hAnsi="宋体" w:eastAsia="宋体" w:cs="宋体"/>
          <w:sz w:val="24"/>
          <w:szCs w:val="24"/>
        </w:rPr>
      </w:pPr>
      <w:r>
        <w:rPr>
          <w:i/>
          <w:iCs/>
          <w:strike/>
          <w:sz w:val="25"/>
          <w:szCs w:val="25"/>
        </w:rPr>
        <w:tab/>
      </w:r>
      <w:r>
        <w:rPr>
          <w:i/>
          <w:iCs/>
          <w:strike/>
          <w:sz w:val="25"/>
          <w:szCs w:val="25"/>
        </w:rPr>
        <w:tab/>
      </w:r>
      <w:r>
        <w:rPr>
          <w:i/>
          <w:iCs/>
          <w:strike/>
          <w:spacing w:val="-20"/>
          <w:sz w:val="25"/>
          <w:szCs w:val="25"/>
        </w:rPr>
        <w:t xml:space="preserve"> </w:t>
      </w:r>
      <w:r>
        <w:rPr>
          <w:i/>
          <w:iCs/>
          <w:strike/>
          <w:spacing w:val="-6"/>
          <w:w w:val="83"/>
          <w:sz w:val="25"/>
          <w:szCs w:val="25"/>
        </w:rPr>
        <w:t>ω</w:t>
      </w:r>
      <w:r>
        <w:rPr>
          <w:rFonts w:ascii="Times New Roman" w:hAnsi="Times New Roman" w:eastAsia="Times New Roman" w:cs="Times New Roman"/>
          <w:position w:val="-6"/>
          <w:sz w:val="14"/>
          <w:szCs w:val="14"/>
        </w:rPr>
        <w:t>0</w:t>
      </w:r>
      <w:r>
        <w:rPr>
          <w:rFonts w:ascii="Times New Roman" w:hAnsi="Times New Roman" w:eastAsia="Times New Roman" w:cs="Times New Roman"/>
          <w:strike/>
          <w:position w:val="-6"/>
          <w:sz w:val="14"/>
          <w:szCs w:val="14"/>
        </w:rPr>
        <w:t xml:space="preserve"> </w:t>
      </w:r>
      <w:r>
        <w:rPr>
          <w:rFonts w:ascii="宋体" w:hAnsi="宋体" w:eastAsia="宋体" w:cs="宋体"/>
          <w:sz w:val="24"/>
          <w:szCs w:val="24"/>
        </w:rPr>
        <w:t>——</w:t>
      </w:r>
      <w:r>
        <w:rPr>
          <w:rFonts w:ascii="宋体" w:hAnsi="宋体" w:eastAsia="宋体" w:cs="宋体"/>
          <w:strike/>
          <w:sz w:val="24"/>
          <w:szCs w:val="24"/>
        </w:rPr>
        <w:t>基本风压（</w:t>
      </w:r>
      <w:r>
        <w:rPr>
          <w:rFonts w:ascii="Times New Roman" w:hAnsi="Times New Roman" w:eastAsia="Times New Roman" w:cs="Times New Roman"/>
          <w:strike/>
          <w:sz w:val="24"/>
          <w:szCs w:val="24"/>
        </w:rPr>
        <w:t>kN/m</w:t>
      </w:r>
      <w:r>
        <w:rPr>
          <w:rFonts w:ascii="Times New Roman" w:hAnsi="Times New Roman" w:eastAsia="Times New Roman" w:cs="Times New Roman"/>
          <w:strike/>
          <w:position w:val="8"/>
          <w:sz w:val="15"/>
          <w:szCs w:val="15"/>
        </w:rPr>
        <w:t>2</w:t>
      </w:r>
      <w:r>
        <w:rPr>
          <w:rFonts w:ascii="宋体" w:hAnsi="宋体" w:eastAsia="宋体" w:cs="宋体"/>
          <w:strike/>
          <w:spacing w:val="4"/>
          <w:sz w:val="24"/>
          <w:szCs w:val="24"/>
        </w:rPr>
        <w:t>），</w:t>
      </w:r>
      <w:r>
        <w:rPr>
          <w:rFonts w:ascii="宋体" w:hAnsi="宋体" w:eastAsia="宋体" w:cs="宋体"/>
          <w:strike/>
          <w:sz w:val="24"/>
          <w:szCs w:val="24"/>
        </w:rPr>
        <w:t>应根据按现</w:t>
      </w:r>
      <w:r>
        <w:rPr>
          <w:rFonts w:ascii="宋体" w:hAnsi="宋体" w:eastAsia="宋体" w:cs="宋体"/>
          <w:strike/>
          <w:spacing w:val="-1"/>
          <w:sz w:val="24"/>
          <w:szCs w:val="24"/>
        </w:rPr>
        <w:t>行国家标准《建筑结构荷载规范》</w:t>
      </w:r>
      <w:r>
        <w:rPr>
          <w:rFonts w:ascii="宋体" w:hAnsi="宋体" w:eastAsia="宋体" w:cs="宋体"/>
          <w:sz w:val="24"/>
          <w:szCs w:val="24"/>
        </w:rPr>
        <w:t xml:space="preserve"> </w:t>
      </w:r>
      <w:r>
        <w:rPr>
          <w:rFonts w:ascii="宋体" w:hAnsi="宋体" w:eastAsia="宋体" w:cs="宋体"/>
          <w:strike/>
          <w:sz w:val="24"/>
          <w:szCs w:val="24"/>
        </w:rPr>
        <w:tab/>
      </w:r>
      <w:r>
        <w:rPr>
          <w:rFonts w:ascii="宋体" w:hAnsi="宋体" w:eastAsia="宋体" w:cs="宋体"/>
          <w:strike/>
          <w:spacing w:val="-14"/>
          <w:sz w:val="24"/>
          <w:szCs w:val="24"/>
        </w:rPr>
        <w:t>（</w:t>
      </w:r>
      <w:r>
        <w:rPr>
          <w:rFonts w:ascii="Times New Roman" w:hAnsi="Times New Roman" w:eastAsia="Times New Roman" w:cs="Times New Roman"/>
          <w:strike/>
          <w:spacing w:val="-14"/>
          <w:sz w:val="24"/>
          <w:szCs w:val="24"/>
        </w:rPr>
        <w:t>GBJ9</w:t>
      </w:r>
      <w:r>
        <w:rPr>
          <w:rFonts w:ascii="Times New Roman" w:hAnsi="Times New Roman" w:eastAsia="Times New Roman" w:cs="Times New Roman"/>
          <w:strike/>
          <w:spacing w:val="-23"/>
          <w:sz w:val="24"/>
          <w:szCs w:val="24"/>
        </w:rPr>
        <w:t xml:space="preserve"> </w:t>
      </w:r>
      <w:r>
        <w:rPr>
          <w:rFonts w:ascii="宋体" w:hAnsi="宋体" w:eastAsia="宋体" w:cs="宋体"/>
          <w:strike/>
          <w:spacing w:val="-14"/>
          <w:sz w:val="24"/>
          <w:szCs w:val="24"/>
        </w:rPr>
        <w:t>）的规定采用。</w:t>
      </w:r>
    </w:p>
    <w:p w14:paraId="2C37D723">
      <w:pPr>
        <w:spacing w:before="158" w:line="298" w:lineRule="auto"/>
        <w:ind w:left="12" w:hanging="1"/>
        <w:rPr>
          <w:rFonts w:ascii="宋体" w:hAnsi="宋体" w:eastAsia="宋体" w:cs="宋体"/>
          <w:sz w:val="24"/>
          <w:szCs w:val="24"/>
        </w:rPr>
      </w:pPr>
      <w:r>
        <w:rPr>
          <w:rFonts w:ascii="Times New Roman" w:hAnsi="Times New Roman" w:eastAsia="Times New Roman" w:cs="Times New Roman"/>
          <w:strike/>
          <w:sz w:val="24"/>
          <w:szCs w:val="24"/>
        </w:rPr>
        <w:t xml:space="preserve">5.5.2    </w:t>
      </w:r>
      <w:r>
        <w:rPr>
          <w:rFonts w:ascii="宋体" w:hAnsi="宋体" w:eastAsia="宋体" w:cs="宋体"/>
          <w:strike/>
          <w:sz w:val="24"/>
          <w:szCs w:val="24"/>
        </w:rPr>
        <w:t>钢销式石材幕墙可在非抗震设计</w:t>
      </w:r>
      <w:r>
        <w:rPr>
          <w:rFonts w:ascii="宋体" w:hAnsi="宋体" w:eastAsia="宋体" w:cs="宋体"/>
          <w:strike/>
          <w:spacing w:val="-1"/>
          <w:sz w:val="24"/>
          <w:szCs w:val="24"/>
        </w:rPr>
        <w:t>或</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 xml:space="preserve">6 </w:t>
      </w:r>
      <w:r>
        <w:rPr>
          <w:rFonts w:ascii="宋体" w:hAnsi="宋体" w:eastAsia="宋体" w:cs="宋体"/>
          <w:strike/>
          <w:spacing w:val="-1"/>
          <w:sz w:val="24"/>
          <w:szCs w:val="24"/>
        </w:rPr>
        <w:t>度、</w:t>
      </w:r>
      <w:r>
        <w:rPr>
          <w:rFonts w:ascii="Times New Roman" w:hAnsi="Times New Roman" w:eastAsia="Times New Roman" w:cs="Times New Roman"/>
          <w:strike/>
          <w:spacing w:val="-1"/>
          <w:sz w:val="24"/>
          <w:szCs w:val="24"/>
        </w:rPr>
        <w:t xml:space="preserve">7 </w:t>
      </w:r>
      <w:r>
        <w:rPr>
          <w:rFonts w:ascii="宋体" w:hAnsi="宋体" w:eastAsia="宋体" w:cs="宋体"/>
          <w:strike/>
          <w:spacing w:val="-1"/>
          <w:sz w:val="24"/>
          <w:szCs w:val="24"/>
        </w:rPr>
        <w:t>度抗震设计幕墙中应用，幕墙高度不</w:t>
      </w:r>
      <w:r>
        <w:rPr>
          <w:rFonts w:ascii="宋体" w:hAnsi="宋体" w:eastAsia="宋体" w:cs="宋体"/>
          <w:sz w:val="24"/>
          <w:szCs w:val="24"/>
        </w:rPr>
        <w:t xml:space="preserve"> </w:t>
      </w:r>
      <w:r>
        <w:rPr>
          <w:rFonts w:ascii="宋体" w:hAnsi="宋体" w:eastAsia="宋体" w:cs="宋体"/>
          <w:strike/>
          <w:spacing w:val="-2"/>
          <w:sz w:val="24"/>
          <w:szCs w:val="24"/>
        </w:rPr>
        <w:t>宜大于</w:t>
      </w:r>
      <w:r>
        <w:rPr>
          <w:rFonts w:ascii="宋体" w:hAnsi="宋体" w:eastAsia="宋体" w:cs="宋体"/>
          <w:strike/>
          <w:spacing w:val="-45"/>
          <w:sz w:val="24"/>
          <w:szCs w:val="24"/>
        </w:rPr>
        <w:t xml:space="preserve"> </w:t>
      </w:r>
      <w:r>
        <w:rPr>
          <w:rFonts w:ascii="Times New Roman" w:hAnsi="Times New Roman" w:eastAsia="Times New Roman" w:cs="Times New Roman"/>
          <w:strike/>
          <w:spacing w:val="-2"/>
          <w:sz w:val="24"/>
          <w:szCs w:val="24"/>
        </w:rPr>
        <w:t>20m</w:t>
      </w:r>
      <w:r>
        <w:rPr>
          <w:rFonts w:ascii="宋体" w:hAnsi="宋体" w:eastAsia="宋体" w:cs="宋体"/>
          <w:strike/>
          <w:spacing w:val="-2"/>
          <w:sz w:val="24"/>
          <w:szCs w:val="24"/>
        </w:rPr>
        <w:t xml:space="preserve">，石板面积不宜大于 </w:t>
      </w:r>
      <w:r>
        <w:rPr>
          <w:rFonts w:ascii="Times New Roman" w:hAnsi="Times New Roman" w:eastAsia="Times New Roman" w:cs="Times New Roman"/>
          <w:strike/>
          <w:spacing w:val="-2"/>
          <w:sz w:val="24"/>
          <w:szCs w:val="24"/>
        </w:rPr>
        <w:t>1</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0m</w:t>
      </w:r>
      <w:r>
        <w:rPr>
          <w:rFonts w:ascii="Times New Roman" w:hAnsi="Times New Roman" w:eastAsia="Times New Roman" w:cs="Times New Roman"/>
          <w:strike/>
          <w:spacing w:val="-2"/>
          <w:position w:val="8"/>
          <w:sz w:val="15"/>
          <w:szCs w:val="15"/>
        </w:rPr>
        <w:t>2</w:t>
      </w:r>
      <w:r>
        <w:rPr>
          <w:rFonts w:ascii="宋体" w:hAnsi="宋体" w:eastAsia="宋体" w:cs="宋体"/>
          <w:strike/>
          <w:spacing w:val="-2"/>
          <w:sz w:val="24"/>
          <w:szCs w:val="24"/>
        </w:rPr>
        <w:t>。钢销和连接板应采用不锈钢。连接板截面尺寸</w:t>
      </w:r>
      <w:r>
        <w:rPr>
          <w:rFonts w:ascii="宋体" w:hAnsi="宋体" w:eastAsia="宋体" w:cs="宋体"/>
          <w:sz w:val="24"/>
          <w:szCs w:val="24"/>
        </w:rPr>
        <w:t xml:space="preserve"> </w:t>
      </w:r>
      <w:r>
        <w:rPr>
          <w:rFonts w:ascii="宋体" w:hAnsi="宋体" w:eastAsia="宋体" w:cs="宋体"/>
          <w:strike/>
          <w:spacing w:val="-2"/>
          <w:sz w:val="24"/>
          <w:szCs w:val="24"/>
        </w:rPr>
        <w:t>不宜小于</w:t>
      </w:r>
      <w:r>
        <w:rPr>
          <w:rFonts w:ascii="宋体" w:hAnsi="宋体" w:eastAsia="宋体" w:cs="宋体"/>
          <w:strike/>
          <w:spacing w:val="-57"/>
          <w:sz w:val="24"/>
          <w:szCs w:val="24"/>
        </w:rPr>
        <w:t xml:space="preserve"> </w:t>
      </w:r>
      <w:r>
        <w:rPr>
          <w:rFonts w:ascii="Times New Roman" w:hAnsi="Times New Roman" w:eastAsia="Times New Roman" w:cs="Times New Roman"/>
          <w:strike/>
          <w:spacing w:val="-2"/>
          <w:sz w:val="24"/>
          <w:szCs w:val="24"/>
        </w:rPr>
        <w:t>40mm</w:t>
      </w:r>
      <w:r>
        <w:rPr>
          <w:rFonts w:ascii="Times New Roman" w:hAnsi="Times New Roman" w:eastAsia="Times New Roman" w:cs="Times New Roman"/>
          <w:strike/>
          <w:spacing w:val="-16"/>
          <w:sz w:val="24"/>
          <w:szCs w:val="24"/>
        </w:rPr>
        <w:t xml:space="preserve"> </w:t>
      </w:r>
      <w:r>
        <w:rPr>
          <w:rFonts w:ascii="宋体" w:hAnsi="宋体" w:eastAsia="宋体" w:cs="宋体"/>
          <w:strike/>
          <w:spacing w:val="-2"/>
          <w:sz w:val="24"/>
          <w:szCs w:val="24"/>
        </w:rPr>
        <w:t>×</w:t>
      </w:r>
      <w:r>
        <w:rPr>
          <w:rFonts w:ascii="Times New Roman" w:hAnsi="Times New Roman" w:eastAsia="Times New Roman" w:cs="Times New Roman"/>
          <w:strike/>
          <w:spacing w:val="-2"/>
          <w:sz w:val="24"/>
          <w:szCs w:val="24"/>
        </w:rPr>
        <w:t>4mm</w:t>
      </w:r>
      <w:r>
        <w:rPr>
          <w:rFonts w:ascii="宋体" w:hAnsi="宋体" w:eastAsia="宋体" w:cs="宋体"/>
          <w:strike/>
          <w:spacing w:val="-2"/>
          <w:sz w:val="24"/>
          <w:szCs w:val="24"/>
        </w:rPr>
        <w:t>。钢销与孔的要求应符合本规范第</w:t>
      </w:r>
      <w:r>
        <w:rPr>
          <w:rFonts w:ascii="宋体" w:hAnsi="宋体" w:eastAsia="宋体" w:cs="宋体"/>
          <w:strike/>
          <w:spacing w:val="-34"/>
          <w:sz w:val="24"/>
          <w:szCs w:val="24"/>
        </w:rPr>
        <w:t xml:space="preserve"> </w:t>
      </w:r>
      <w:r>
        <w:rPr>
          <w:rFonts w:ascii="Times New Roman" w:hAnsi="Times New Roman" w:eastAsia="Times New Roman" w:cs="Times New Roman"/>
          <w:strike/>
          <w:spacing w:val="-2"/>
          <w:sz w:val="24"/>
          <w:szCs w:val="24"/>
        </w:rPr>
        <w:t>6</w:t>
      </w:r>
      <w:r>
        <w:rPr>
          <w:rFonts w:ascii="Times New Roman" w:hAnsi="Times New Roman" w:eastAsia="Times New Roman" w:cs="Times New Roman"/>
          <w:strike/>
          <w:spacing w:val="-3"/>
          <w:sz w:val="24"/>
          <w:szCs w:val="24"/>
        </w:rPr>
        <w:t xml:space="preserve">.3.2 </w:t>
      </w:r>
      <w:r>
        <w:rPr>
          <w:rFonts w:ascii="宋体" w:hAnsi="宋体" w:eastAsia="宋体" w:cs="宋体"/>
          <w:strike/>
          <w:spacing w:val="-3"/>
          <w:sz w:val="24"/>
          <w:szCs w:val="24"/>
        </w:rPr>
        <w:t>条的规定。</w:t>
      </w:r>
    </w:p>
    <w:p w14:paraId="772BBD30">
      <w:pPr>
        <w:spacing w:before="155" w:line="299" w:lineRule="auto"/>
        <w:ind w:left="9" w:right="106" w:firstLine="2"/>
        <w:rPr>
          <w:rFonts w:ascii="宋体" w:hAnsi="宋体" w:eastAsia="宋体" w:cs="宋体"/>
          <w:sz w:val="24"/>
          <w:szCs w:val="24"/>
        </w:rPr>
      </w:pPr>
      <w:r>
        <w:rPr>
          <w:rFonts w:ascii="Times New Roman" w:hAnsi="Times New Roman" w:eastAsia="Times New Roman" w:cs="Times New Roman"/>
          <w:strike/>
          <w:sz w:val="24"/>
          <w:szCs w:val="24"/>
        </w:rPr>
        <w:t xml:space="preserve">5.6.6    </w:t>
      </w:r>
      <w:r>
        <w:rPr>
          <w:rFonts w:ascii="宋体" w:hAnsi="宋体" w:eastAsia="宋体" w:cs="宋体"/>
          <w:strike/>
          <w:sz w:val="24"/>
          <w:szCs w:val="24"/>
        </w:rPr>
        <w:t>横梁应通过角码、螺钉或螺栓与立柱连接，角码</w:t>
      </w:r>
      <w:r>
        <w:rPr>
          <w:rFonts w:ascii="宋体" w:hAnsi="宋体" w:eastAsia="宋体" w:cs="宋体"/>
          <w:strike/>
          <w:spacing w:val="-1"/>
          <w:sz w:val="24"/>
          <w:szCs w:val="24"/>
        </w:rPr>
        <w:t>应能承受横梁的剪力。螺钉直</w:t>
      </w:r>
      <w:r>
        <w:rPr>
          <w:rFonts w:ascii="宋体" w:hAnsi="宋体" w:eastAsia="宋体" w:cs="宋体"/>
          <w:sz w:val="24"/>
          <w:szCs w:val="24"/>
        </w:rPr>
        <w:t xml:space="preserve"> </w:t>
      </w:r>
      <w:r>
        <w:rPr>
          <w:rFonts w:ascii="宋体" w:hAnsi="宋体" w:eastAsia="宋体" w:cs="宋体"/>
          <w:strike/>
          <w:spacing w:val="-1"/>
          <w:sz w:val="24"/>
          <w:szCs w:val="24"/>
        </w:rPr>
        <w:t>径不得小于</w:t>
      </w:r>
      <w:r>
        <w:rPr>
          <w:rFonts w:ascii="宋体" w:hAnsi="宋体" w:eastAsia="宋体" w:cs="宋体"/>
          <w:strike/>
          <w:spacing w:val="-56"/>
          <w:sz w:val="24"/>
          <w:szCs w:val="24"/>
        </w:rPr>
        <w:t xml:space="preserve"> </w:t>
      </w:r>
      <w:r>
        <w:rPr>
          <w:rFonts w:ascii="Times New Roman" w:hAnsi="Times New Roman" w:eastAsia="Times New Roman" w:cs="Times New Roman"/>
          <w:strike/>
          <w:spacing w:val="-1"/>
          <w:sz w:val="24"/>
          <w:szCs w:val="24"/>
        </w:rPr>
        <w:t>4mm</w:t>
      </w:r>
      <w:r>
        <w:rPr>
          <w:rFonts w:ascii="Times New Roman" w:hAnsi="Times New Roman" w:eastAsia="Times New Roman" w:cs="Times New Roman"/>
          <w:strike/>
          <w:spacing w:val="-31"/>
          <w:sz w:val="24"/>
          <w:szCs w:val="24"/>
        </w:rPr>
        <w:t xml:space="preserve"> </w:t>
      </w:r>
      <w:r>
        <w:rPr>
          <w:rFonts w:ascii="宋体" w:hAnsi="宋体" w:eastAsia="宋体" w:cs="宋体"/>
          <w:strike/>
          <w:spacing w:val="-1"/>
          <w:sz w:val="24"/>
          <w:szCs w:val="24"/>
        </w:rPr>
        <w:t>，每处连接螺钉数量不应少于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个，螺栓不应少于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个。横梁与立柱</w:t>
      </w:r>
      <w:r>
        <w:rPr>
          <w:rFonts w:ascii="宋体" w:hAnsi="宋体" w:eastAsia="宋体" w:cs="宋体"/>
          <w:sz w:val="24"/>
          <w:szCs w:val="24"/>
        </w:rPr>
        <w:t xml:space="preserve"> </w:t>
      </w:r>
      <w:r>
        <w:rPr>
          <w:rFonts w:ascii="宋体" w:hAnsi="宋体" w:eastAsia="宋体" w:cs="宋体"/>
          <w:strike/>
          <w:spacing w:val="-1"/>
          <w:sz w:val="24"/>
          <w:szCs w:val="24"/>
        </w:rPr>
        <w:t>之间应有</w:t>
      </w:r>
      <w:r>
        <w:rPr>
          <w:rFonts w:ascii="宋体" w:hAnsi="宋体" w:eastAsia="宋体" w:cs="宋体"/>
          <w:spacing w:val="-1"/>
          <w:sz w:val="24"/>
          <w:szCs w:val="24"/>
        </w:rPr>
        <w:t>一</w:t>
      </w:r>
      <w:r>
        <w:rPr>
          <w:rFonts w:ascii="宋体" w:hAnsi="宋体" w:eastAsia="宋体" w:cs="宋体"/>
          <w:strike/>
          <w:spacing w:val="-1"/>
          <w:sz w:val="24"/>
          <w:szCs w:val="24"/>
        </w:rPr>
        <w:t>定的相对位移能力。</w:t>
      </w:r>
    </w:p>
    <w:p w14:paraId="3B1DE7D3">
      <w:pPr>
        <w:spacing w:before="154" w:line="279" w:lineRule="auto"/>
        <w:ind w:left="15" w:right="166" w:hanging="4"/>
        <w:rPr>
          <w:rFonts w:ascii="宋体" w:hAnsi="宋体" w:eastAsia="宋体" w:cs="宋体"/>
          <w:sz w:val="24"/>
          <w:szCs w:val="24"/>
        </w:rPr>
      </w:pPr>
      <w:r>
        <w:rPr>
          <w:rFonts w:ascii="Times New Roman" w:hAnsi="Times New Roman" w:eastAsia="Times New Roman" w:cs="Times New Roman"/>
          <w:strike/>
          <w:spacing w:val="-2"/>
          <w:sz w:val="24"/>
          <w:szCs w:val="24"/>
        </w:rPr>
        <w:t xml:space="preserve">5.7.2    </w:t>
      </w:r>
      <w:r>
        <w:rPr>
          <w:rFonts w:ascii="宋体" w:hAnsi="宋体" w:eastAsia="宋体" w:cs="宋体"/>
          <w:strike/>
          <w:spacing w:val="-2"/>
          <w:sz w:val="24"/>
          <w:szCs w:val="24"/>
        </w:rPr>
        <w:t>上下立柱之间应有不小于</w:t>
      </w:r>
      <w:r>
        <w:rPr>
          <w:rFonts w:ascii="宋体" w:hAnsi="宋体" w:eastAsia="宋体" w:cs="宋体"/>
          <w:strike/>
          <w:spacing w:val="-15"/>
          <w:sz w:val="24"/>
          <w:szCs w:val="24"/>
        </w:rPr>
        <w:t xml:space="preserve"> </w:t>
      </w:r>
      <w:r>
        <w:rPr>
          <w:rFonts w:ascii="Times New Roman" w:hAnsi="Times New Roman" w:eastAsia="Times New Roman" w:cs="Times New Roman"/>
          <w:strike/>
          <w:spacing w:val="-2"/>
          <w:sz w:val="24"/>
          <w:szCs w:val="24"/>
        </w:rPr>
        <w:t>15mm</w:t>
      </w:r>
      <w:r>
        <w:rPr>
          <w:rFonts w:ascii="Times New Roman" w:hAnsi="Times New Roman" w:eastAsia="Times New Roman" w:cs="Times New Roman"/>
          <w:strike/>
          <w:spacing w:val="30"/>
          <w:sz w:val="24"/>
          <w:szCs w:val="24"/>
        </w:rPr>
        <w:t xml:space="preserve"> </w:t>
      </w:r>
      <w:r>
        <w:rPr>
          <w:rFonts w:ascii="宋体" w:hAnsi="宋体" w:eastAsia="宋体" w:cs="宋体"/>
          <w:strike/>
          <w:spacing w:val="-2"/>
          <w:sz w:val="24"/>
          <w:szCs w:val="24"/>
        </w:rPr>
        <w:t>的缝隙，并应采用芯柱连结。芯柱总长度不应</w:t>
      </w:r>
      <w:r>
        <w:rPr>
          <w:rFonts w:ascii="宋体" w:hAnsi="宋体" w:eastAsia="宋体" w:cs="宋体"/>
          <w:sz w:val="24"/>
          <w:szCs w:val="24"/>
        </w:rPr>
        <w:t xml:space="preserve"> </w:t>
      </w:r>
      <w:r>
        <w:rPr>
          <w:rFonts w:ascii="宋体" w:hAnsi="宋体" w:eastAsia="宋体" w:cs="宋体"/>
          <w:strike/>
          <w:spacing w:val="-1"/>
          <w:sz w:val="24"/>
          <w:szCs w:val="24"/>
        </w:rPr>
        <w:t>小于</w:t>
      </w:r>
      <w:r>
        <w:rPr>
          <w:rFonts w:ascii="宋体" w:hAnsi="宋体" w:eastAsia="宋体" w:cs="宋体"/>
          <w:strike/>
          <w:spacing w:val="-39"/>
          <w:sz w:val="24"/>
          <w:szCs w:val="24"/>
        </w:rPr>
        <w:t xml:space="preserve"> </w:t>
      </w:r>
      <w:r>
        <w:rPr>
          <w:rFonts w:ascii="Times New Roman" w:hAnsi="Times New Roman" w:eastAsia="Times New Roman" w:cs="Times New Roman"/>
          <w:strike/>
          <w:spacing w:val="-1"/>
          <w:sz w:val="24"/>
          <w:szCs w:val="24"/>
        </w:rPr>
        <w:t>400mm</w:t>
      </w:r>
      <w:r>
        <w:rPr>
          <w:rFonts w:ascii="宋体" w:hAnsi="宋体" w:eastAsia="宋体" w:cs="宋体"/>
          <w:strike/>
          <w:spacing w:val="-1"/>
          <w:sz w:val="24"/>
          <w:szCs w:val="24"/>
        </w:rPr>
        <w:t>。芯柱与立柱应紧密接触。芯柱与下柱之间应采用不锈钢螺栓固定。</w:t>
      </w:r>
    </w:p>
    <w:p w14:paraId="6750C2F8">
      <w:pPr>
        <w:spacing w:before="154" w:line="299" w:lineRule="auto"/>
        <w:ind w:left="12" w:right="49" w:hanging="1"/>
        <w:rPr>
          <w:rFonts w:ascii="宋体" w:hAnsi="宋体" w:eastAsia="宋体" w:cs="宋体"/>
          <w:sz w:val="24"/>
          <w:szCs w:val="24"/>
        </w:rPr>
      </w:pPr>
      <w:r>
        <w:rPr>
          <w:rFonts w:ascii="Times New Roman" w:hAnsi="Times New Roman" w:eastAsia="Times New Roman" w:cs="Times New Roman"/>
          <w:strike/>
          <w:sz w:val="24"/>
          <w:szCs w:val="24"/>
        </w:rPr>
        <w:t xml:space="preserve">5.7.11    </w:t>
      </w:r>
      <w:r>
        <w:rPr>
          <w:rFonts w:ascii="宋体" w:hAnsi="宋体" w:eastAsia="宋体" w:cs="宋体"/>
          <w:strike/>
          <w:sz w:val="24"/>
          <w:szCs w:val="24"/>
        </w:rPr>
        <w:t>立柱应采用螺栓与角码连接，</w:t>
      </w:r>
      <w:r>
        <w:rPr>
          <w:rFonts w:ascii="宋体" w:hAnsi="宋体" w:eastAsia="宋体" w:cs="宋体"/>
          <w:strike/>
          <w:spacing w:val="-1"/>
          <w:sz w:val="24"/>
          <w:szCs w:val="24"/>
        </w:rPr>
        <w:t>并再通过角码与预埋件或钢构件连接。螺栓直径</w:t>
      </w:r>
      <w:r>
        <w:rPr>
          <w:rFonts w:ascii="宋体" w:hAnsi="宋体" w:eastAsia="宋体" w:cs="宋体"/>
          <w:sz w:val="24"/>
          <w:szCs w:val="24"/>
        </w:rPr>
        <w:t xml:space="preserve"> </w:t>
      </w:r>
      <w:r>
        <w:rPr>
          <w:rFonts w:ascii="宋体" w:hAnsi="宋体" w:eastAsia="宋体" w:cs="宋体"/>
          <w:strike/>
          <w:spacing w:val="-1"/>
          <w:sz w:val="24"/>
          <w:szCs w:val="24"/>
        </w:rPr>
        <w:t>不应小于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10mm</w:t>
      </w:r>
      <w:r>
        <w:rPr>
          <w:rFonts w:ascii="宋体" w:hAnsi="宋体" w:eastAsia="宋体" w:cs="宋体"/>
          <w:strike/>
          <w:spacing w:val="-1"/>
          <w:sz w:val="24"/>
          <w:szCs w:val="24"/>
        </w:rPr>
        <w:t>，连接螺栓应按现行国家标准《钢结构设计规范</w:t>
      </w:r>
      <w:r>
        <w:rPr>
          <w:rFonts w:ascii="宋体" w:hAnsi="宋体" w:eastAsia="宋体" w:cs="宋体"/>
          <w:strike/>
          <w:spacing w:val="-2"/>
          <w:sz w:val="24"/>
          <w:szCs w:val="24"/>
        </w:rPr>
        <w:t>》（</w:t>
      </w:r>
      <w:r>
        <w:rPr>
          <w:rFonts w:ascii="Times New Roman" w:hAnsi="Times New Roman" w:eastAsia="Times New Roman" w:cs="Times New Roman"/>
          <w:strike/>
          <w:spacing w:val="-2"/>
          <w:sz w:val="24"/>
          <w:szCs w:val="24"/>
        </w:rPr>
        <w:t>GBJ17</w:t>
      </w:r>
      <w:r>
        <w:rPr>
          <w:rFonts w:ascii="宋体" w:hAnsi="宋体" w:eastAsia="宋体" w:cs="宋体"/>
          <w:strike/>
          <w:spacing w:val="-2"/>
          <w:sz w:val="24"/>
          <w:szCs w:val="24"/>
        </w:rPr>
        <w:t>）进行承载</w:t>
      </w:r>
      <w:r>
        <w:rPr>
          <w:rFonts w:ascii="宋体" w:hAnsi="宋体" w:eastAsia="宋体" w:cs="宋体"/>
          <w:sz w:val="24"/>
          <w:szCs w:val="24"/>
        </w:rPr>
        <w:t xml:space="preserve"> </w:t>
      </w:r>
      <w:r>
        <w:rPr>
          <w:rFonts w:ascii="宋体" w:hAnsi="宋体" w:eastAsia="宋体" w:cs="宋体"/>
          <w:strike/>
          <w:spacing w:val="-1"/>
          <w:sz w:val="24"/>
          <w:szCs w:val="24"/>
        </w:rPr>
        <w:t>力计算。立柱与角码采用不同金属材料时应采用绝缘垫片分隔。</w:t>
      </w:r>
    </w:p>
    <w:p w14:paraId="09D90028">
      <w:pPr>
        <w:spacing w:line="299" w:lineRule="auto"/>
        <w:rPr>
          <w:rFonts w:ascii="宋体" w:hAnsi="宋体" w:eastAsia="宋体" w:cs="宋体"/>
          <w:sz w:val="24"/>
          <w:szCs w:val="24"/>
        </w:rPr>
        <w:sectPr>
          <w:footerReference r:id="rId55" w:type="default"/>
          <w:pgSz w:w="11907" w:h="16839"/>
          <w:pgMar w:top="400" w:right="1429" w:bottom="743" w:left="1417" w:header="0" w:footer="582" w:gutter="0"/>
          <w:cols w:space="720" w:num="1"/>
        </w:sectPr>
      </w:pPr>
    </w:p>
    <w:p w14:paraId="19685DC6">
      <w:pPr>
        <w:pStyle w:val="2"/>
        <w:spacing w:line="303" w:lineRule="auto"/>
      </w:pPr>
    </w:p>
    <w:p w14:paraId="2AB504AD">
      <w:pPr>
        <w:pStyle w:val="2"/>
        <w:spacing w:line="303" w:lineRule="auto"/>
      </w:pPr>
    </w:p>
    <w:p w14:paraId="3F8CC9A3">
      <w:pPr>
        <w:pStyle w:val="2"/>
        <w:spacing w:line="304" w:lineRule="auto"/>
      </w:pPr>
    </w:p>
    <w:p w14:paraId="14867A14">
      <w:pPr>
        <w:spacing w:before="78" w:line="279" w:lineRule="auto"/>
        <w:ind w:right="24" w:firstLine="1"/>
        <w:rPr>
          <w:rFonts w:ascii="宋体" w:hAnsi="宋体" w:eastAsia="宋体" w:cs="宋体"/>
          <w:sz w:val="24"/>
          <w:szCs w:val="24"/>
        </w:rPr>
      </w:pPr>
      <w:r>
        <w:rPr>
          <w:rFonts w:ascii="Times New Roman" w:hAnsi="Times New Roman" w:eastAsia="Times New Roman" w:cs="Times New Roman"/>
          <w:strike/>
          <w:spacing w:val="-2"/>
          <w:sz w:val="24"/>
          <w:szCs w:val="24"/>
        </w:rPr>
        <w:t xml:space="preserve">6.1.3    </w:t>
      </w:r>
      <w:r>
        <w:rPr>
          <w:rFonts w:ascii="宋体" w:hAnsi="宋体" w:eastAsia="宋体" w:cs="宋体"/>
          <w:strike/>
          <w:spacing w:val="-2"/>
          <w:sz w:val="24"/>
          <w:szCs w:val="24"/>
        </w:rPr>
        <w:t>用硅酮结构密封胶黏结固定构件时，注胶应在温度</w:t>
      </w:r>
      <w:r>
        <w:rPr>
          <w:rFonts w:ascii="宋体" w:hAnsi="宋体" w:eastAsia="宋体" w:cs="宋体"/>
          <w:strike/>
          <w:spacing w:val="-32"/>
          <w:sz w:val="24"/>
          <w:szCs w:val="24"/>
        </w:rPr>
        <w:t xml:space="preserve"> </w:t>
      </w:r>
      <w:r>
        <w:rPr>
          <w:rFonts w:ascii="Times New Roman" w:hAnsi="Times New Roman" w:eastAsia="Times New Roman" w:cs="Times New Roman"/>
          <w:strike/>
          <w:spacing w:val="-3"/>
          <w:sz w:val="24"/>
          <w:szCs w:val="24"/>
        </w:rPr>
        <w:t>15</w:t>
      </w:r>
      <w:r>
        <w:rPr>
          <w:rFonts w:ascii="Times New Roman" w:hAnsi="Times New Roman" w:eastAsia="Times New Roman" w:cs="Times New Roman"/>
          <w:strike/>
          <w:spacing w:val="-33"/>
          <w:sz w:val="24"/>
          <w:szCs w:val="24"/>
        </w:rPr>
        <w:t xml:space="preserve"> </w:t>
      </w:r>
      <w:r>
        <w:rPr>
          <w:rFonts w:ascii="宋体" w:hAnsi="宋体" w:eastAsia="宋体" w:cs="宋体"/>
          <w:strike/>
          <w:spacing w:val="-3"/>
          <w:sz w:val="24"/>
          <w:szCs w:val="24"/>
        </w:rPr>
        <w:t>℃以上</w:t>
      </w:r>
      <w:r>
        <w:rPr>
          <w:rFonts w:ascii="宋体" w:hAnsi="宋体" w:eastAsia="宋体" w:cs="宋体"/>
          <w:strike/>
          <w:spacing w:val="-50"/>
          <w:sz w:val="24"/>
          <w:szCs w:val="24"/>
        </w:rPr>
        <w:t xml:space="preserve"> </w:t>
      </w:r>
      <w:r>
        <w:rPr>
          <w:rFonts w:ascii="Times New Roman" w:hAnsi="Times New Roman" w:eastAsia="Times New Roman" w:cs="Times New Roman"/>
          <w:strike/>
          <w:spacing w:val="-3"/>
          <w:sz w:val="24"/>
          <w:szCs w:val="24"/>
        </w:rPr>
        <w:t>30</w:t>
      </w:r>
      <w:r>
        <w:rPr>
          <w:rFonts w:ascii="Times New Roman" w:hAnsi="Times New Roman" w:eastAsia="Times New Roman" w:cs="Times New Roman"/>
          <w:strike/>
          <w:spacing w:val="-33"/>
          <w:sz w:val="24"/>
          <w:szCs w:val="24"/>
        </w:rPr>
        <w:t xml:space="preserve"> </w:t>
      </w:r>
      <w:r>
        <w:rPr>
          <w:rFonts w:ascii="宋体" w:hAnsi="宋体" w:eastAsia="宋体" w:cs="宋体"/>
          <w:strike/>
          <w:spacing w:val="-3"/>
          <w:sz w:val="24"/>
          <w:szCs w:val="24"/>
        </w:rPr>
        <w:t>℃以下、相对湿</w:t>
      </w:r>
      <w:r>
        <w:rPr>
          <w:rFonts w:ascii="宋体" w:hAnsi="宋体" w:eastAsia="宋体" w:cs="宋体"/>
          <w:sz w:val="24"/>
          <w:szCs w:val="24"/>
        </w:rPr>
        <w:t xml:space="preserve"> </w:t>
      </w:r>
      <w:r>
        <w:rPr>
          <w:rFonts w:ascii="宋体" w:hAnsi="宋体" w:eastAsia="宋体" w:cs="宋体"/>
          <w:strike/>
          <w:spacing w:val="-2"/>
          <w:sz w:val="24"/>
          <w:szCs w:val="24"/>
        </w:rPr>
        <w:t>度</w:t>
      </w:r>
      <w:r>
        <w:rPr>
          <w:rFonts w:ascii="宋体" w:hAnsi="宋体" w:eastAsia="宋体" w:cs="宋体"/>
          <w:strike/>
          <w:spacing w:val="-37"/>
          <w:sz w:val="24"/>
          <w:szCs w:val="24"/>
        </w:rPr>
        <w:t xml:space="preserve"> </w:t>
      </w:r>
      <w:r>
        <w:rPr>
          <w:rFonts w:ascii="Times New Roman" w:hAnsi="Times New Roman" w:eastAsia="Times New Roman" w:cs="Times New Roman"/>
          <w:strike/>
          <w:spacing w:val="-2"/>
          <w:sz w:val="24"/>
          <w:szCs w:val="24"/>
        </w:rPr>
        <w:t>50%</w:t>
      </w:r>
      <w:r>
        <w:rPr>
          <w:rFonts w:ascii="Times New Roman" w:hAnsi="Times New Roman" w:eastAsia="Times New Roman" w:cs="Times New Roman"/>
          <w:strike/>
          <w:spacing w:val="-23"/>
          <w:sz w:val="24"/>
          <w:szCs w:val="24"/>
        </w:rPr>
        <w:t xml:space="preserve"> </w:t>
      </w:r>
      <w:r>
        <w:rPr>
          <w:rFonts w:ascii="宋体" w:hAnsi="宋体" w:eastAsia="宋体" w:cs="宋体"/>
          <w:strike/>
          <w:spacing w:val="-2"/>
          <w:sz w:val="24"/>
          <w:szCs w:val="24"/>
        </w:rPr>
        <w:t>以上、且洁净、通风的室内进行，胶的宽度、厚度应符合设计要求。</w:t>
      </w:r>
    </w:p>
    <w:p w14:paraId="61C7A3AC">
      <w:pPr>
        <w:spacing w:before="153" w:line="219"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6.3.2    </w:t>
      </w:r>
      <w:r>
        <w:rPr>
          <w:rFonts w:ascii="宋体" w:hAnsi="宋体" w:eastAsia="宋体" w:cs="宋体"/>
          <w:strike/>
          <w:spacing w:val="-1"/>
          <w:sz w:val="24"/>
          <w:szCs w:val="24"/>
        </w:rPr>
        <w:t>钢销式安装的石板加工应符合下列规定：</w:t>
      </w:r>
    </w:p>
    <w:p w14:paraId="396E6921">
      <w:pPr>
        <w:spacing w:before="157" w:line="298" w:lineRule="auto"/>
        <w:ind w:left="1" w:right="111" w:firstLine="497"/>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钢销的孔位应根据石板的大小而定。孔位距离边端不得小于石板厚度的</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倍，</w:t>
      </w:r>
      <w:r>
        <w:rPr>
          <w:rFonts w:ascii="宋体" w:hAnsi="宋体" w:eastAsia="宋体" w:cs="宋体"/>
          <w:sz w:val="24"/>
          <w:szCs w:val="24"/>
        </w:rPr>
        <w:t xml:space="preserve"> </w:t>
      </w:r>
      <w:r>
        <w:rPr>
          <w:rFonts w:ascii="宋体" w:hAnsi="宋体" w:eastAsia="宋体" w:cs="宋体"/>
          <w:strike/>
          <w:spacing w:val="-3"/>
          <w:sz w:val="24"/>
          <w:szCs w:val="24"/>
        </w:rPr>
        <w:t>也不得大于</w:t>
      </w:r>
      <w:r>
        <w:rPr>
          <w:rFonts w:ascii="宋体" w:hAnsi="宋体" w:eastAsia="宋体" w:cs="宋体"/>
          <w:strike/>
          <w:spacing w:val="-19"/>
          <w:sz w:val="24"/>
          <w:szCs w:val="24"/>
        </w:rPr>
        <w:t xml:space="preserve"> </w:t>
      </w:r>
      <w:r>
        <w:rPr>
          <w:rFonts w:ascii="Times New Roman" w:hAnsi="Times New Roman" w:eastAsia="Times New Roman" w:cs="Times New Roman"/>
          <w:strike/>
          <w:spacing w:val="-3"/>
          <w:sz w:val="24"/>
          <w:szCs w:val="24"/>
        </w:rPr>
        <w:t>180mm</w:t>
      </w:r>
      <w:r>
        <w:rPr>
          <w:rFonts w:ascii="宋体" w:hAnsi="宋体" w:eastAsia="宋体" w:cs="宋体"/>
          <w:strike/>
          <w:spacing w:val="-3"/>
          <w:sz w:val="24"/>
          <w:szCs w:val="24"/>
        </w:rPr>
        <w:t>；钢销间距不宜大于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3"/>
          <w:sz w:val="24"/>
          <w:szCs w:val="24"/>
        </w:rPr>
        <w:t>600mm</w:t>
      </w:r>
      <w:r>
        <w:rPr>
          <w:rFonts w:ascii="宋体" w:hAnsi="宋体" w:eastAsia="宋体" w:cs="宋体"/>
          <w:strike/>
          <w:spacing w:val="-3"/>
          <w:sz w:val="24"/>
          <w:szCs w:val="24"/>
        </w:rPr>
        <w:t>；边长不大于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3"/>
          <w:sz w:val="24"/>
          <w:szCs w:val="24"/>
        </w:rPr>
        <w:t>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3"/>
          <w:sz w:val="24"/>
          <w:szCs w:val="24"/>
        </w:rPr>
        <w:t>时每边应设两个钢</w:t>
      </w:r>
      <w:r>
        <w:rPr>
          <w:rFonts w:ascii="宋体" w:hAnsi="宋体" w:eastAsia="宋体" w:cs="宋体"/>
          <w:sz w:val="24"/>
          <w:szCs w:val="24"/>
        </w:rPr>
        <w:t xml:space="preserve"> </w:t>
      </w:r>
      <w:r>
        <w:rPr>
          <w:rFonts w:ascii="宋体" w:hAnsi="宋体" w:eastAsia="宋体" w:cs="宋体"/>
          <w:strike/>
          <w:spacing w:val="-3"/>
          <w:sz w:val="24"/>
          <w:szCs w:val="24"/>
        </w:rPr>
        <w:t>销，边长大于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3"/>
          <w:sz w:val="24"/>
          <w:szCs w:val="24"/>
        </w:rPr>
        <w:t>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0m</w:t>
      </w:r>
      <w:r>
        <w:rPr>
          <w:rFonts w:ascii="Times New Roman" w:hAnsi="Times New Roman" w:eastAsia="Times New Roman" w:cs="Times New Roman"/>
          <w:strike/>
          <w:spacing w:val="21"/>
          <w:sz w:val="24"/>
          <w:szCs w:val="24"/>
        </w:rPr>
        <w:t xml:space="preserve"> </w:t>
      </w:r>
      <w:r>
        <w:rPr>
          <w:rFonts w:ascii="宋体" w:hAnsi="宋体" w:eastAsia="宋体" w:cs="宋体"/>
          <w:strike/>
          <w:spacing w:val="-3"/>
          <w:sz w:val="24"/>
          <w:szCs w:val="24"/>
        </w:rPr>
        <w:t>时应采用复合连接；</w:t>
      </w:r>
    </w:p>
    <w:p w14:paraId="03F7E585">
      <w:pPr>
        <w:spacing w:before="154" w:line="280" w:lineRule="auto"/>
        <w:ind w:left="3" w:firstLine="472"/>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石板的钢销孔的深度宜为</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22</w:t>
      </w:r>
      <w:r>
        <w:rPr>
          <w:rFonts w:ascii="宋体" w:hAnsi="宋体" w:eastAsia="宋体" w:cs="宋体"/>
          <w:strike/>
          <w:spacing w:val="-1"/>
          <w:sz w:val="24"/>
          <w:szCs w:val="24"/>
        </w:rPr>
        <w:t>～</w:t>
      </w:r>
      <w:r>
        <w:rPr>
          <w:rFonts w:ascii="Times New Roman" w:hAnsi="Times New Roman" w:eastAsia="Times New Roman" w:cs="Times New Roman"/>
          <w:strike/>
          <w:spacing w:val="-1"/>
          <w:sz w:val="24"/>
          <w:szCs w:val="24"/>
        </w:rPr>
        <w:t>33mm</w:t>
      </w:r>
      <w:r>
        <w:rPr>
          <w:rFonts w:ascii="宋体" w:hAnsi="宋体" w:eastAsia="宋体" w:cs="宋体"/>
          <w:strike/>
          <w:spacing w:val="-1"/>
          <w:sz w:val="24"/>
          <w:szCs w:val="24"/>
        </w:rPr>
        <w:t>，孔的直径宜为</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 xml:space="preserve">7mm </w:t>
      </w:r>
      <w:r>
        <w:rPr>
          <w:rFonts w:ascii="宋体" w:hAnsi="宋体" w:eastAsia="宋体" w:cs="宋体"/>
          <w:strike/>
          <w:spacing w:val="-1"/>
          <w:sz w:val="24"/>
          <w:szCs w:val="24"/>
        </w:rPr>
        <w:t>或</w:t>
      </w:r>
      <w:r>
        <w:rPr>
          <w:rFonts w:ascii="宋体" w:hAnsi="宋体" w:eastAsia="宋体" w:cs="宋体"/>
          <w:strike/>
          <w:spacing w:val="-45"/>
          <w:sz w:val="24"/>
          <w:szCs w:val="24"/>
        </w:rPr>
        <w:t xml:space="preserve"> </w:t>
      </w:r>
      <w:r>
        <w:rPr>
          <w:rFonts w:ascii="Times New Roman" w:hAnsi="Times New Roman" w:eastAsia="Times New Roman" w:cs="Times New Roman"/>
          <w:strike/>
          <w:spacing w:val="-1"/>
          <w:sz w:val="24"/>
          <w:szCs w:val="24"/>
        </w:rPr>
        <w:t>8</w:t>
      </w:r>
      <w:r>
        <w:rPr>
          <w:rFonts w:ascii="Times New Roman" w:hAnsi="Times New Roman" w:eastAsia="Times New Roman" w:cs="Times New Roman"/>
          <w:strike/>
          <w:spacing w:val="-2"/>
          <w:sz w:val="24"/>
          <w:szCs w:val="24"/>
        </w:rPr>
        <w:t>mm</w:t>
      </w:r>
      <w:r>
        <w:rPr>
          <w:rFonts w:ascii="宋体" w:hAnsi="宋体" w:eastAsia="宋体" w:cs="宋体"/>
          <w:strike/>
          <w:spacing w:val="-2"/>
          <w:sz w:val="24"/>
          <w:szCs w:val="24"/>
        </w:rPr>
        <w:t>，钢销直径宜</w:t>
      </w:r>
      <w:r>
        <w:rPr>
          <w:rFonts w:ascii="宋体" w:hAnsi="宋体" w:eastAsia="宋体" w:cs="宋体"/>
          <w:sz w:val="24"/>
          <w:szCs w:val="24"/>
        </w:rPr>
        <w:t xml:space="preserve"> </w:t>
      </w:r>
      <w:r>
        <w:rPr>
          <w:rFonts w:ascii="宋体" w:hAnsi="宋体" w:eastAsia="宋体" w:cs="宋体"/>
          <w:strike/>
          <w:spacing w:val="-2"/>
          <w:sz w:val="24"/>
          <w:szCs w:val="24"/>
        </w:rPr>
        <w:t>为</w:t>
      </w:r>
      <w:r>
        <w:rPr>
          <w:rFonts w:ascii="宋体" w:hAnsi="宋体" w:eastAsia="宋体" w:cs="宋体"/>
          <w:strike/>
          <w:spacing w:val="-40"/>
          <w:sz w:val="24"/>
          <w:szCs w:val="24"/>
        </w:rPr>
        <w:t xml:space="preserve"> </w:t>
      </w:r>
      <w:r>
        <w:rPr>
          <w:rFonts w:ascii="Times New Roman" w:hAnsi="Times New Roman" w:eastAsia="Times New Roman" w:cs="Times New Roman"/>
          <w:strike/>
          <w:spacing w:val="-2"/>
          <w:sz w:val="24"/>
          <w:szCs w:val="24"/>
        </w:rPr>
        <w:t xml:space="preserve">5mm </w:t>
      </w:r>
      <w:r>
        <w:rPr>
          <w:rFonts w:ascii="宋体" w:hAnsi="宋体" w:eastAsia="宋体" w:cs="宋体"/>
          <w:strike/>
          <w:spacing w:val="-2"/>
          <w:sz w:val="24"/>
          <w:szCs w:val="24"/>
        </w:rPr>
        <w:t>或</w:t>
      </w:r>
      <w:r>
        <w:rPr>
          <w:rFonts w:ascii="宋体" w:hAnsi="宋体" w:eastAsia="宋体" w:cs="宋体"/>
          <w:strike/>
          <w:spacing w:val="-51"/>
          <w:sz w:val="24"/>
          <w:szCs w:val="24"/>
        </w:rPr>
        <w:t xml:space="preserve"> </w:t>
      </w:r>
      <w:r>
        <w:rPr>
          <w:rFonts w:ascii="Times New Roman" w:hAnsi="Times New Roman" w:eastAsia="Times New Roman" w:cs="Times New Roman"/>
          <w:strike/>
          <w:spacing w:val="-2"/>
          <w:sz w:val="24"/>
          <w:szCs w:val="24"/>
        </w:rPr>
        <w:t>6mm</w:t>
      </w:r>
      <w:r>
        <w:rPr>
          <w:rFonts w:ascii="宋体" w:hAnsi="宋体" w:eastAsia="宋体" w:cs="宋体"/>
          <w:strike/>
          <w:spacing w:val="-2"/>
          <w:sz w:val="24"/>
          <w:szCs w:val="24"/>
        </w:rPr>
        <w:t>，钢销长度宜为</w:t>
      </w:r>
      <w:r>
        <w:rPr>
          <w:rFonts w:ascii="宋体" w:hAnsi="宋体" w:eastAsia="宋体" w:cs="宋体"/>
          <w:strike/>
          <w:spacing w:val="-54"/>
          <w:sz w:val="24"/>
          <w:szCs w:val="24"/>
        </w:rPr>
        <w:t xml:space="preserve"> </w:t>
      </w:r>
      <w:r>
        <w:rPr>
          <w:rFonts w:ascii="Times New Roman" w:hAnsi="Times New Roman" w:eastAsia="Times New Roman" w:cs="Times New Roman"/>
          <w:strike/>
          <w:spacing w:val="-2"/>
          <w:sz w:val="24"/>
          <w:szCs w:val="24"/>
        </w:rPr>
        <w:t>20</w:t>
      </w:r>
      <w:r>
        <w:rPr>
          <w:rFonts w:ascii="宋体" w:hAnsi="宋体" w:eastAsia="宋体" w:cs="宋体"/>
          <w:strike/>
          <w:spacing w:val="-2"/>
          <w:sz w:val="24"/>
          <w:szCs w:val="24"/>
        </w:rPr>
        <w:t>～</w:t>
      </w:r>
      <w:r>
        <w:rPr>
          <w:rFonts w:ascii="Times New Roman" w:hAnsi="Times New Roman" w:eastAsia="Times New Roman" w:cs="Times New Roman"/>
          <w:strike/>
          <w:spacing w:val="-2"/>
          <w:sz w:val="24"/>
          <w:szCs w:val="24"/>
        </w:rPr>
        <w:t>30mm</w:t>
      </w:r>
      <w:r>
        <w:rPr>
          <w:rFonts w:ascii="Times New Roman" w:hAnsi="Times New Roman" w:eastAsia="Times New Roman" w:cs="Times New Roman"/>
          <w:strike/>
          <w:spacing w:val="-30"/>
          <w:sz w:val="24"/>
          <w:szCs w:val="24"/>
        </w:rPr>
        <w:t xml:space="preserve"> </w:t>
      </w:r>
      <w:r>
        <w:rPr>
          <w:rFonts w:ascii="宋体" w:hAnsi="宋体" w:eastAsia="宋体" w:cs="宋体"/>
          <w:strike/>
          <w:spacing w:val="-2"/>
          <w:sz w:val="24"/>
          <w:szCs w:val="24"/>
        </w:rPr>
        <w:t>；</w:t>
      </w:r>
    </w:p>
    <w:p w14:paraId="681D7230">
      <w:pPr>
        <w:spacing w:before="152" w:line="219" w:lineRule="auto"/>
        <w:ind w:left="481"/>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石板的钢销孔处不得有损坏或崩裂现象</w:t>
      </w:r>
      <w:r>
        <w:rPr>
          <w:rFonts w:ascii="宋体" w:hAnsi="宋体" w:eastAsia="宋体" w:cs="宋体"/>
          <w:strike/>
          <w:spacing w:val="-1"/>
          <w:sz w:val="24"/>
          <w:szCs w:val="24"/>
        </w:rPr>
        <w:t>，孔径内应光滑、洁净。</w:t>
      </w:r>
    </w:p>
    <w:p w14:paraId="261B5D9D">
      <w:pPr>
        <w:spacing w:before="156" w:line="299" w:lineRule="auto"/>
        <w:ind w:left="2" w:right="4" w:hanging="1"/>
        <w:rPr>
          <w:rFonts w:ascii="宋体" w:hAnsi="宋体" w:eastAsia="宋体" w:cs="宋体"/>
          <w:sz w:val="24"/>
          <w:szCs w:val="24"/>
        </w:rPr>
      </w:pPr>
      <w:r>
        <w:rPr>
          <w:rFonts w:ascii="Times New Roman" w:hAnsi="Times New Roman" w:eastAsia="Times New Roman" w:cs="Times New Roman"/>
          <w:strike/>
          <w:sz w:val="24"/>
          <w:szCs w:val="24"/>
        </w:rPr>
        <w:t xml:space="preserve">6.5.1    </w:t>
      </w:r>
      <w:r>
        <w:rPr>
          <w:rFonts w:ascii="宋体" w:hAnsi="宋体" w:eastAsia="宋体" w:cs="宋体"/>
          <w:strike/>
          <w:sz w:val="24"/>
          <w:szCs w:val="24"/>
        </w:rPr>
        <w:t>金属与石材幕墙构件应按同</w:t>
      </w:r>
      <w:r>
        <w:rPr>
          <w:rFonts w:ascii="宋体" w:hAnsi="宋体" w:eastAsia="宋体" w:cs="宋体"/>
          <w:spacing w:val="-1"/>
          <w:sz w:val="24"/>
          <w:szCs w:val="24"/>
        </w:rPr>
        <w:t>一</w:t>
      </w:r>
      <w:r>
        <w:rPr>
          <w:rFonts w:ascii="宋体" w:hAnsi="宋体" w:eastAsia="宋体" w:cs="宋体"/>
          <w:strike/>
          <w:spacing w:val="-1"/>
          <w:sz w:val="24"/>
          <w:szCs w:val="24"/>
        </w:rPr>
        <w:t>种类构件的</w:t>
      </w:r>
      <w:r>
        <w:rPr>
          <w:rFonts w:ascii="宋体" w:hAnsi="宋体" w:eastAsia="宋体" w:cs="宋体"/>
          <w:strike/>
          <w:spacing w:val="-48"/>
          <w:sz w:val="24"/>
          <w:szCs w:val="24"/>
        </w:rPr>
        <w:t xml:space="preserve"> </w:t>
      </w:r>
      <w:r>
        <w:rPr>
          <w:rFonts w:ascii="Times New Roman" w:hAnsi="Times New Roman" w:eastAsia="Times New Roman" w:cs="Times New Roman"/>
          <w:strike/>
          <w:spacing w:val="-1"/>
          <w:sz w:val="24"/>
          <w:szCs w:val="24"/>
        </w:rPr>
        <w:t>5%</w:t>
      </w:r>
      <w:r>
        <w:rPr>
          <w:rFonts w:ascii="宋体" w:hAnsi="宋体" w:eastAsia="宋体" w:cs="宋体"/>
          <w:strike/>
          <w:spacing w:val="-1"/>
          <w:sz w:val="24"/>
          <w:szCs w:val="24"/>
        </w:rPr>
        <w:t>进行抽样检查，且每种构件不得少</w:t>
      </w:r>
      <w:r>
        <w:rPr>
          <w:rFonts w:ascii="宋体" w:hAnsi="宋体" w:eastAsia="宋体" w:cs="宋体"/>
          <w:sz w:val="24"/>
          <w:szCs w:val="24"/>
        </w:rPr>
        <w:t xml:space="preserve"> </w:t>
      </w:r>
      <w:r>
        <w:rPr>
          <w:rFonts w:ascii="宋体" w:hAnsi="宋体" w:eastAsia="宋体" w:cs="宋体"/>
          <w:strike/>
          <w:spacing w:val="-1"/>
          <w:sz w:val="24"/>
          <w:szCs w:val="24"/>
        </w:rPr>
        <w:t>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件。当有</w:t>
      </w:r>
      <w:r>
        <w:rPr>
          <w:rFonts w:ascii="宋体" w:hAnsi="宋体" w:eastAsia="宋体" w:cs="宋体"/>
          <w:spacing w:val="-1"/>
          <w:sz w:val="24"/>
          <w:szCs w:val="24"/>
        </w:rPr>
        <w:t>一</w:t>
      </w:r>
      <w:r>
        <w:rPr>
          <w:rFonts w:ascii="宋体" w:hAnsi="宋体" w:eastAsia="宋体" w:cs="宋体"/>
          <w:strike/>
          <w:spacing w:val="-1"/>
          <w:sz w:val="24"/>
          <w:szCs w:val="24"/>
        </w:rPr>
        <w:t>个构件抽检不符合上述规定时，应加倍抽样复验，全部合格后方可出</w:t>
      </w:r>
      <w:r>
        <w:rPr>
          <w:rFonts w:ascii="宋体" w:hAnsi="宋体" w:eastAsia="宋体" w:cs="宋体"/>
          <w:sz w:val="24"/>
          <w:szCs w:val="24"/>
        </w:rPr>
        <w:t xml:space="preserve">  </w:t>
      </w:r>
      <w:r>
        <w:rPr>
          <w:rFonts w:ascii="宋体" w:hAnsi="宋体" w:eastAsia="宋体" w:cs="宋体"/>
          <w:strike/>
          <w:spacing w:val="-4"/>
          <w:sz w:val="24"/>
          <w:szCs w:val="24"/>
        </w:rPr>
        <w:t>厂。</w:t>
      </w:r>
    </w:p>
    <w:p w14:paraId="4D16A7B3">
      <w:pPr>
        <w:spacing w:before="153" w:line="299" w:lineRule="auto"/>
        <w:ind w:left="4" w:right="144" w:hanging="4"/>
        <w:rPr>
          <w:rFonts w:ascii="宋体" w:hAnsi="宋体" w:eastAsia="宋体" w:cs="宋体"/>
          <w:sz w:val="24"/>
          <w:szCs w:val="24"/>
        </w:rPr>
      </w:pPr>
      <w:r>
        <w:rPr>
          <w:rFonts w:ascii="Times New Roman" w:hAnsi="Times New Roman" w:eastAsia="Times New Roman" w:cs="Times New Roman"/>
          <w:strike/>
          <w:sz w:val="24"/>
          <w:szCs w:val="24"/>
        </w:rPr>
        <w:t xml:space="preserve">7.2.4    </w:t>
      </w:r>
      <w:r>
        <w:rPr>
          <w:rFonts w:ascii="宋体" w:hAnsi="宋体" w:eastAsia="宋体" w:cs="宋体"/>
          <w:strike/>
          <w:sz w:val="24"/>
          <w:szCs w:val="24"/>
        </w:rPr>
        <w:t>金属、石材幕墙与主体结构连接的预埋件，应在主体结</w:t>
      </w:r>
      <w:r>
        <w:rPr>
          <w:rFonts w:ascii="宋体" w:hAnsi="宋体" w:eastAsia="宋体" w:cs="宋体"/>
          <w:strike/>
          <w:spacing w:val="-1"/>
          <w:sz w:val="24"/>
          <w:szCs w:val="24"/>
        </w:rPr>
        <w:t>构施工时按设计要求埋</w:t>
      </w:r>
      <w:r>
        <w:rPr>
          <w:rFonts w:ascii="宋体" w:hAnsi="宋体" w:eastAsia="宋体" w:cs="宋体"/>
          <w:sz w:val="24"/>
          <w:szCs w:val="24"/>
        </w:rPr>
        <w:t xml:space="preserve"> </w:t>
      </w:r>
      <w:r>
        <w:rPr>
          <w:rFonts w:ascii="宋体" w:hAnsi="宋体" w:eastAsia="宋体" w:cs="宋体"/>
          <w:strike/>
          <w:sz w:val="24"/>
          <w:szCs w:val="24"/>
        </w:rPr>
        <w:t>设。预埋件应牢固，位置准确，预埋件的位置误差</w:t>
      </w:r>
      <w:r>
        <w:rPr>
          <w:rFonts w:ascii="宋体" w:hAnsi="宋体" w:eastAsia="宋体" w:cs="宋体"/>
          <w:strike/>
          <w:spacing w:val="-1"/>
          <w:sz w:val="24"/>
          <w:szCs w:val="24"/>
        </w:rPr>
        <w:t>应按设计要求进行复查。当设计无</w:t>
      </w:r>
      <w:r>
        <w:rPr>
          <w:rFonts w:ascii="宋体" w:hAnsi="宋体" w:eastAsia="宋体" w:cs="宋体"/>
          <w:sz w:val="24"/>
          <w:szCs w:val="24"/>
        </w:rPr>
        <w:t xml:space="preserve"> </w:t>
      </w:r>
      <w:r>
        <w:rPr>
          <w:rFonts w:ascii="宋体" w:hAnsi="宋体" w:eastAsia="宋体" w:cs="宋体"/>
          <w:strike/>
          <w:spacing w:val="-2"/>
          <w:sz w:val="24"/>
          <w:szCs w:val="24"/>
        </w:rPr>
        <w:t>明确要求时，预埋件的标高偏差不应大于</w:t>
      </w:r>
      <w:r>
        <w:rPr>
          <w:rFonts w:ascii="宋体" w:hAnsi="宋体" w:eastAsia="宋体" w:cs="宋体"/>
          <w:strike/>
          <w:spacing w:val="-16"/>
          <w:sz w:val="24"/>
          <w:szCs w:val="24"/>
        </w:rPr>
        <w:t xml:space="preserve"> </w:t>
      </w:r>
      <w:r>
        <w:rPr>
          <w:rFonts w:ascii="Times New Roman" w:hAnsi="Times New Roman" w:eastAsia="Times New Roman" w:cs="Times New Roman"/>
          <w:strike/>
          <w:spacing w:val="-2"/>
          <w:sz w:val="24"/>
          <w:szCs w:val="24"/>
        </w:rPr>
        <w:t>10mm</w:t>
      </w:r>
      <w:r>
        <w:rPr>
          <w:rFonts w:ascii="宋体" w:hAnsi="宋体" w:eastAsia="宋体" w:cs="宋体"/>
          <w:strike/>
          <w:spacing w:val="-2"/>
          <w:sz w:val="24"/>
          <w:szCs w:val="24"/>
        </w:rPr>
        <w:t>，预埋件位置差不应大于</w:t>
      </w:r>
      <w:r>
        <w:rPr>
          <w:rFonts w:ascii="宋体" w:hAnsi="宋体" w:eastAsia="宋体" w:cs="宋体"/>
          <w:strike/>
          <w:spacing w:val="-41"/>
          <w:sz w:val="24"/>
          <w:szCs w:val="24"/>
        </w:rPr>
        <w:t xml:space="preserve"> </w:t>
      </w:r>
      <w:r>
        <w:rPr>
          <w:rFonts w:ascii="Times New Roman" w:hAnsi="Times New Roman" w:eastAsia="Times New Roman" w:cs="Times New Roman"/>
          <w:strike/>
          <w:spacing w:val="-2"/>
          <w:sz w:val="24"/>
          <w:szCs w:val="24"/>
        </w:rPr>
        <w:t>20mm</w:t>
      </w:r>
      <w:r>
        <w:rPr>
          <w:rFonts w:ascii="Times New Roman" w:hAnsi="Times New Roman" w:eastAsia="Times New Roman" w:cs="Times New Roman"/>
          <w:strike/>
          <w:spacing w:val="-28"/>
          <w:sz w:val="24"/>
          <w:szCs w:val="24"/>
        </w:rPr>
        <w:t xml:space="preserve"> </w:t>
      </w:r>
      <w:r>
        <w:rPr>
          <w:rFonts w:ascii="宋体" w:hAnsi="宋体" w:eastAsia="宋体" w:cs="宋体"/>
          <w:strike/>
          <w:spacing w:val="-2"/>
          <w:sz w:val="24"/>
          <w:szCs w:val="24"/>
        </w:rPr>
        <w:t>。</w:t>
      </w:r>
    </w:p>
    <w:p w14:paraId="624E2645">
      <w:pPr>
        <w:spacing w:before="155" w:line="219"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7.3.4    </w:t>
      </w:r>
      <w:r>
        <w:rPr>
          <w:rFonts w:ascii="宋体" w:hAnsi="宋体" w:eastAsia="宋体" w:cs="宋体"/>
          <w:strike/>
          <w:spacing w:val="-1"/>
          <w:sz w:val="24"/>
          <w:szCs w:val="24"/>
        </w:rPr>
        <w:t>金属板与石板安装应符合下列规定：</w:t>
      </w:r>
    </w:p>
    <w:p w14:paraId="5EE66195">
      <w:pPr>
        <w:spacing w:before="155" w:line="220" w:lineRule="auto"/>
        <w:ind w:left="499"/>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应对横竖连接件进行检查、测量、调整；</w:t>
      </w:r>
    </w:p>
    <w:p w14:paraId="7D2502B4">
      <w:pPr>
        <w:spacing w:before="154" w:line="219" w:lineRule="auto"/>
        <w:ind w:left="476"/>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金属板、石板安装时，左右、上下的偏差不应大于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1</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5</w:t>
      </w:r>
      <w:r>
        <w:rPr>
          <w:rFonts w:ascii="Times New Roman" w:hAnsi="Times New Roman" w:eastAsia="Times New Roman" w:cs="Times New Roman"/>
          <w:strike/>
          <w:spacing w:val="-2"/>
          <w:sz w:val="24"/>
          <w:szCs w:val="24"/>
        </w:rPr>
        <w:t>mm</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w:t>
      </w:r>
    </w:p>
    <w:p w14:paraId="562D149C">
      <w:pPr>
        <w:spacing w:before="156" w:line="280" w:lineRule="auto"/>
        <w:ind w:left="37" w:right="384" w:firstLine="443"/>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金属板、石板空缝安装时，必须有防水措施，并应</w:t>
      </w:r>
      <w:r>
        <w:rPr>
          <w:rFonts w:ascii="宋体" w:hAnsi="宋体" w:eastAsia="宋体" w:cs="宋体"/>
          <w:strike/>
          <w:spacing w:val="-1"/>
          <w:sz w:val="24"/>
          <w:szCs w:val="24"/>
        </w:rPr>
        <w:t>有符合设计要求的排水出</w:t>
      </w:r>
      <w:r>
        <w:rPr>
          <w:rFonts w:ascii="宋体" w:hAnsi="宋体" w:eastAsia="宋体" w:cs="宋体"/>
          <w:sz w:val="24"/>
          <w:szCs w:val="24"/>
        </w:rPr>
        <w:t xml:space="preserve"> </w:t>
      </w:r>
      <w:r>
        <w:rPr>
          <w:rFonts w:ascii="宋体" w:hAnsi="宋体" w:eastAsia="宋体" w:cs="宋体"/>
          <w:strike/>
          <w:spacing w:val="-12"/>
          <w:sz w:val="24"/>
          <w:szCs w:val="24"/>
        </w:rPr>
        <w:t>口；</w:t>
      </w:r>
    </w:p>
    <w:p w14:paraId="7E009CEE">
      <w:pPr>
        <w:spacing w:before="152" w:line="279" w:lineRule="auto"/>
        <w:ind w:left="20" w:right="144" w:firstLine="454"/>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填充硅酮耐候密封胶时，金属板、石板缝的宽度、厚度应根据硅酮</w:t>
      </w:r>
      <w:r>
        <w:rPr>
          <w:rFonts w:ascii="宋体" w:hAnsi="宋体" w:eastAsia="宋体" w:cs="宋体"/>
          <w:strike/>
          <w:spacing w:val="-1"/>
          <w:sz w:val="24"/>
          <w:szCs w:val="24"/>
        </w:rPr>
        <w:t>耐候密封胶</w:t>
      </w:r>
      <w:r>
        <w:rPr>
          <w:rFonts w:ascii="宋体" w:hAnsi="宋体" w:eastAsia="宋体" w:cs="宋体"/>
          <w:sz w:val="24"/>
          <w:szCs w:val="24"/>
        </w:rPr>
        <w:t xml:space="preserve"> </w:t>
      </w:r>
      <w:r>
        <w:rPr>
          <w:rFonts w:ascii="宋体" w:hAnsi="宋体" w:eastAsia="宋体" w:cs="宋体"/>
          <w:strike/>
          <w:spacing w:val="-3"/>
          <w:sz w:val="24"/>
          <w:szCs w:val="24"/>
        </w:rPr>
        <w:t>的技术参数，经计算后确定。</w:t>
      </w:r>
    </w:p>
    <w:p w14:paraId="522E7F6E">
      <w:pPr>
        <w:spacing w:before="154" w:line="219"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7.3.10    </w:t>
      </w:r>
      <w:r>
        <w:rPr>
          <w:rFonts w:ascii="宋体" w:hAnsi="宋体" w:eastAsia="宋体" w:cs="宋体"/>
          <w:strike/>
          <w:spacing w:val="-1"/>
          <w:sz w:val="24"/>
          <w:szCs w:val="24"/>
        </w:rPr>
        <w:t>幕墙安装施工应对下列项目进行验收：</w:t>
      </w:r>
    </w:p>
    <w:p w14:paraId="5D1A8206">
      <w:pPr>
        <w:spacing w:before="155" w:line="220" w:lineRule="auto"/>
        <w:ind w:left="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主体结构与立柱、立柱与横梁连接节点安装及防腐处理；</w:t>
      </w:r>
    </w:p>
    <w:p w14:paraId="6DA80665">
      <w:pPr>
        <w:spacing w:before="154" w:line="219" w:lineRule="auto"/>
        <w:ind w:left="476"/>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幕墙的防火、保温安装；</w:t>
      </w:r>
    </w:p>
    <w:p w14:paraId="31771E19">
      <w:pPr>
        <w:spacing w:before="156" w:line="219"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幕墙的伸缩缝、沉降缝、防震缝及阴阳角的安装；</w:t>
      </w:r>
    </w:p>
    <w:p w14:paraId="27E1E2F5">
      <w:pPr>
        <w:spacing w:before="155" w:line="219" w:lineRule="auto"/>
        <w:ind w:left="475"/>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幕墙的防雷节点的安装；</w:t>
      </w:r>
    </w:p>
    <w:p w14:paraId="74D23605">
      <w:pPr>
        <w:spacing w:before="155" w:line="219" w:lineRule="auto"/>
        <w:ind w:left="483"/>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幕墙的封口安装。</w:t>
      </w:r>
    </w:p>
    <w:p w14:paraId="1505C5F2">
      <w:pPr>
        <w:spacing w:before="203" w:line="226" w:lineRule="auto"/>
        <w:ind w:left="10"/>
        <w:outlineLvl w:val="1"/>
        <w:rPr>
          <w:rFonts w:ascii="宋体" w:hAnsi="宋体" w:eastAsia="宋体" w:cs="宋体"/>
          <w:sz w:val="27"/>
          <w:szCs w:val="27"/>
        </w:rPr>
      </w:pPr>
      <w:bookmarkStart w:id="73" w:name="bookmark119"/>
      <w:bookmarkEnd w:id="73"/>
      <w:r>
        <w:rPr>
          <w:rFonts w:ascii="Times New Roman" w:hAnsi="Times New Roman" w:eastAsia="Times New Roman" w:cs="Times New Roman"/>
          <w:b/>
          <w:bCs/>
          <w:spacing w:val="4"/>
          <w:sz w:val="27"/>
          <w:szCs w:val="27"/>
        </w:rPr>
        <w:t>10.</w:t>
      </w:r>
      <w:r>
        <w:rPr>
          <w:rFonts w:ascii="Times New Roman" w:hAnsi="Times New Roman" w:eastAsia="Times New Roman" w:cs="Times New Roman"/>
          <w:b/>
          <w:bCs/>
          <w:spacing w:val="-40"/>
          <w:sz w:val="27"/>
          <w:szCs w:val="27"/>
        </w:rPr>
        <w:t xml:space="preserve"> </w:t>
      </w:r>
      <w:r>
        <w:rPr>
          <w:rFonts w:ascii="宋体" w:hAnsi="宋体" w:eastAsia="宋体" w:cs="宋体"/>
          <w:b/>
          <w:bCs/>
          <w:spacing w:val="4"/>
          <w:sz w:val="27"/>
          <w:szCs w:val="27"/>
        </w:rPr>
        <w:t>《矿物绝缘电缆敷设技术规程》——</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4"/>
          <w:sz w:val="27"/>
          <w:szCs w:val="27"/>
        </w:rPr>
        <w:t>232</w:t>
      </w:r>
      <w:r>
        <w:rPr>
          <w:rFonts w:ascii="Times New Roman" w:hAnsi="Times New Roman" w:eastAsia="Times New Roman" w:cs="Times New Roman"/>
          <w:b/>
          <w:bCs/>
          <w:spacing w:val="3"/>
          <w:sz w:val="27"/>
          <w:szCs w:val="27"/>
        </w:rPr>
        <w:t>-2011</w:t>
      </w:r>
      <w:r>
        <w:rPr>
          <w:rFonts w:ascii="Times New Roman" w:hAnsi="Times New Roman" w:eastAsia="Times New Roman" w:cs="Times New Roman"/>
          <w:b/>
          <w:bCs/>
          <w:spacing w:val="-10"/>
          <w:sz w:val="27"/>
          <w:szCs w:val="27"/>
        </w:rPr>
        <w:t xml:space="preserve"> </w:t>
      </w:r>
      <w:r>
        <w:rPr>
          <w:rFonts w:ascii="宋体" w:hAnsi="宋体" w:eastAsia="宋体" w:cs="宋体"/>
          <w:b/>
          <w:bCs/>
          <w:spacing w:val="3"/>
          <w:sz w:val="27"/>
          <w:szCs w:val="27"/>
        </w:rPr>
        <w:t>【强条已废】</w:t>
      </w:r>
    </w:p>
    <w:p w14:paraId="4ABDA644">
      <w:pPr>
        <w:spacing w:before="286" w:line="220" w:lineRule="auto"/>
        <w:ind w:left="28"/>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GB55024-2022 </w:t>
      </w:r>
      <w:r>
        <w:rPr>
          <w:rFonts w:ascii="宋体" w:hAnsi="宋体" w:eastAsia="宋体" w:cs="宋体"/>
          <w:b/>
          <w:bCs/>
          <w:color w:val="0563C1"/>
          <w:spacing w:val="-2"/>
          <w:sz w:val="24"/>
          <w:szCs w:val="24"/>
          <w:u w:val="single" w:color="auto"/>
        </w:rPr>
        <w:t>建筑电气与智能化通用规范</w:t>
      </w:r>
      <w:r>
        <w:rPr>
          <w:rFonts w:ascii="宋体" w:hAnsi="宋体" w:eastAsia="宋体" w:cs="宋体"/>
          <w:b/>
          <w:bCs/>
          <w:color w:val="EE0000"/>
          <w:spacing w:val="-2"/>
          <w:sz w:val="24"/>
          <w:szCs w:val="24"/>
        </w:rPr>
        <w:t>》替代</w:t>
      </w:r>
    </w:p>
    <w:p w14:paraId="02674363">
      <w:pPr>
        <w:spacing w:before="153" w:line="341" w:lineRule="auto"/>
        <w:ind w:left="20" w:right="144" w:hanging="19"/>
        <w:rPr>
          <w:rFonts w:ascii="宋体" w:hAnsi="宋体" w:eastAsia="宋体" w:cs="宋体"/>
          <w:sz w:val="24"/>
          <w:szCs w:val="24"/>
        </w:rPr>
      </w:pPr>
      <w:r>
        <w:rPr>
          <w:rFonts w:ascii="Times New Roman" w:hAnsi="Times New Roman" w:eastAsia="Times New Roman" w:cs="Times New Roman"/>
          <w:strike/>
          <w:sz w:val="24"/>
          <w:szCs w:val="24"/>
        </w:rPr>
        <w:t xml:space="preserve">3.1.7    </w:t>
      </w:r>
      <w:r>
        <w:rPr>
          <w:rFonts w:ascii="宋体" w:hAnsi="宋体" w:eastAsia="宋体" w:cs="宋体"/>
          <w:strike/>
          <w:sz w:val="24"/>
          <w:szCs w:val="24"/>
        </w:rPr>
        <w:t>有耐火要求的线路，矿物绝缘电缆中间连接附件的耐</w:t>
      </w:r>
      <w:r>
        <w:rPr>
          <w:rFonts w:ascii="宋体" w:hAnsi="宋体" w:eastAsia="宋体" w:cs="宋体"/>
          <w:strike/>
          <w:spacing w:val="-1"/>
          <w:sz w:val="24"/>
          <w:szCs w:val="24"/>
        </w:rPr>
        <w:t>火等级不应低于电缆本体</w:t>
      </w:r>
      <w:r>
        <w:rPr>
          <w:rFonts w:ascii="宋体" w:hAnsi="宋体" w:eastAsia="宋体" w:cs="宋体"/>
          <w:sz w:val="24"/>
          <w:szCs w:val="24"/>
        </w:rPr>
        <w:t xml:space="preserve"> </w:t>
      </w:r>
      <w:r>
        <w:rPr>
          <w:rFonts w:ascii="宋体" w:hAnsi="宋体" w:eastAsia="宋体" w:cs="宋体"/>
          <w:strike/>
          <w:spacing w:val="-5"/>
          <w:sz w:val="24"/>
          <w:szCs w:val="24"/>
        </w:rPr>
        <w:t>的耐火等级。</w:t>
      </w:r>
    </w:p>
    <w:p w14:paraId="28C5C8D5">
      <w:pPr>
        <w:spacing w:line="341" w:lineRule="auto"/>
        <w:rPr>
          <w:rFonts w:ascii="宋体" w:hAnsi="宋体" w:eastAsia="宋体" w:cs="宋体"/>
          <w:sz w:val="24"/>
          <w:szCs w:val="24"/>
        </w:rPr>
        <w:sectPr>
          <w:footerReference r:id="rId56" w:type="default"/>
          <w:pgSz w:w="11907" w:h="16839"/>
          <w:pgMar w:top="400" w:right="1464" w:bottom="743" w:left="1425" w:header="0" w:footer="582" w:gutter="0"/>
          <w:cols w:space="720" w:num="1"/>
        </w:sectPr>
      </w:pPr>
    </w:p>
    <w:p w14:paraId="067F2AAC">
      <w:pPr>
        <w:pStyle w:val="2"/>
        <w:spacing w:line="303" w:lineRule="auto"/>
      </w:pPr>
    </w:p>
    <w:p w14:paraId="4DC719C0">
      <w:pPr>
        <w:pStyle w:val="2"/>
        <w:spacing w:line="303" w:lineRule="auto"/>
      </w:pPr>
    </w:p>
    <w:p w14:paraId="3391588C">
      <w:pPr>
        <w:pStyle w:val="2"/>
        <w:spacing w:line="303" w:lineRule="auto"/>
      </w:pPr>
    </w:p>
    <w:p w14:paraId="04C24D37">
      <w:pPr>
        <w:spacing w:before="78"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4.1.7    </w:t>
      </w:r>
      <w:r>
        <w:rPr>
          <w:rFonts w:ascii="宋体" w:hAnsi="宋体" w:eastAsia="宋体" w:cs="宋体"/>
          <w:strike/>
          <w:sz w:val="24"/>
          <w:szCs w:val="24"/>
        </w:rPr>
        <w:t>交流系统单芯电缆敷设应采取下列防</w:t>
      </w:r>
      <w:r>
        <w:rPr>
          <w:rFonts w:ascii="宋体" w:hAnsi="宋体" w:eastAsia="宋体" w:cs="宋体"/>
          <w:strike/>
          <w:spacing w:val="-1"/>
          <w:sz w:val="24"/>
          <w:szCs w:val="24"/>
        </w:rPr>
        <w:t>涡流措施：</w:t>
      </w:r>
    </w:p>
    <w:p w14:paraId="1DA75DD2">
      <w:pPr>
        <w:spacing w:before="155" w:line="220" w:lineRule="auto"/>
        <w:ind w:left="504"/>
        <w:rPr>
          <w:rFonts w:ascii="宋体" w:hAnsi="宋体" w:eastAsia="宋体" w:cs="宋体"/>
          <w:sz w:val="24"/>
          <w:szCs w:val="24"/>
        </w:rPr>
      </w:pPr>
      <w:r>
        <w:rPr>
          <w:rFonts w:ascii="Times New Roman" w:hAnsi="Times New Roman" w:eastAsia="Times New Roman" w:cs="Times New Roman"/>
          <w:strike/>
          <w:spacing w:val="-3"/>
          <w:sz w:val="24"/>
          <w:szCs w:val="24"/>
        </w:rPr>
        <w:t>1</w:t>
      </w:r>
      <w:r>
        <w:rPr>
          <w:rFonts w:ascii="Times New Roman" w:hAnsi="Times New Roman" w:eastAsia="Times New Roman" w:cs="Times New Roman"/>
          <w:strike/>
          <w:spacing w:val="18"/>
          <w:w w:val="101"/>
          <w:sz w:val="24"/>
          <w:szCs w:val="24"/>
        </w:rPr>
        <w:t xml:space="preserve">  </w:t>
      </w:r>
      <w:r>
        <w:rPr>
          <w:rFonts w:ascii="宋体" w:hAnsi="宋体" w:eastAsia="宋体" w:cs="宋体"/>
          <w:strike/>
          <w:spacing w:val="-3"/>
          <w:sz w:val="24"/>
          <w:szCs w:val="24"/>
        </w:rPr>
        <w:t>电缆应分回路进出钢制配电箱（柜）、桥</w:t>
      </w:r>
      <w:r>
        <w:rPr>
          <w:rFonts w:ascii="宋体" w:hAnsi="宋体" w:eastAsia="宋体" w:cs="宋体"/>
          <w:strike/>
          <w:spacing w:val="-4"/>
          <w:sz w:val="24"/>
          <w:szCs w:val="24"/>
        </w:rPr>
        <w:t>架；</w:t>
      </w:r>
    </w:p>
    <w:p w14:paraId="51D3AF5D">
      <w:pPr>
        <w:spacing w:before="153" w:line="219" w:lineRule="auto"/>
        <w:ind w:left="481"/>
        <w:rPr>
          <w:rFonts w:ascii="宋体" w:hAnsi="宋体" w:eastAsia="宋体" w:cs="宋体"/>
          <w:sz w:val="24"/>
          <w:szCs w:val="24"/>
        </w:rPr>
      </w:pPr>
      <w:r>
        <w:rPr>
          <w:rFonts w:ascii="Times New Roman" w:hAnsi="Times New Roman" w:eastAsia="Times New Roman" w:cs="Times New Roman"/>
          <w:strike/>
          <w:spacing w:val="-2"/>
          <w:sz w:val="24"/>
          <w:szCs w:val="24"/>
        </w:rPr>
        <w:t>2</w:t>
      </w:r>
      <w:r>
        <w:rPr>
          <w:rFonts w:ascii="Times New Roman" w:hAnsi="Times New Roman" w:eastAsia="Times New Roman" w:cs="Times New Roman"/>
          <w:strike/>
          <w:spacing w:val="27"/>
          <w:w w:val="101"/>
          <w:sz w:val="24"/>
          <w:szCs w:val="24"/>
        </w:rPr>
        <w:t xml:space="preserve">  </w:t>
      </w:r>
      <w:r>
        <w:rPr>
          <w:rFonts w:ascii="宋体" w:hAnsi="宋体" w:eastAsia="宋体" w:cs="宋体"/>
          <w:strike/>
          <w:spacing w:val="-2"/>
          <w:sz w:val="24"/>
          <w:szCs w:val="24"/>
        </w:rPr>
        <w:t>电缆应采用金属件固定或金属线绑扎，且不得形成闭合铁磁回路；</w:t>
      </w:r>
    </w:p>
    <w:p w14:paraId="2328ADFF">
      <w:pPr>
        <w:spacing w:before="91" w:line="248" w:lineRule="auto"/>
        <w:ind w:left="7" w:right="120" w:firstLine="478"/>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当电缆穿过钢管（钢套管）或钢筋混凝土楼板、墙体</w:t>
      </w:r>
      <w:r>
        <w:rPr>
          <w:rFonts w:ascii="宋体" w:hAnsi="宋体" w:eastAsia="宋体" w:cs="宋体"/>
          <w:strike/>
          <w:spacing w:val="-1"/>
          <w:sz w:val="24"/>
          <w:szCs w:val="24"/>
        </w:rPr>
        <w:t>的预留洞时，电缆应分回</w:t>
      </w:r>
      <w:r>
        <w:rPr>
          <w:rFonts w:ascii="宋体" w:hAnsi="宋体" w:eastAsia="宋体" w:cs="宋体"/>
          <w:sz w:val="24"/>
          <w:szCs w:val="24"/>
        </w:rPr>
        <w:t xml:space="preserve"> </w:t>
      </w:r>
      <w:r>
        <w:rPr>
          <w:rFonts w:ascii="宋体" w:hAnsi="宋体" w:eastAsia="宋体" w:cs="宋体"/>
          <w:strike/>
          <w:spacing w:val="-3"/>
          <w:sz w:val="24"/>
          <w:szCs w:val="24"/>
        </w:rPr>
        <w:t>路敷设。</w:t>
      </w:r>
    </w:p>
    <w:p w14:paraId="4A7B7596">
      <w:pPr>
        <w:spacing w:before="139"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4.1.9    </w:t>
      </w:r>
      <w:r>
        <w:rPr>
          <w:rFonts w:ascii="宋体" w:hAnsi="宋体" w:eastAsia="宋体" w:cs="宋体"/>
          <w:strike/>
          <w:sz w:val="24"/>
          <w:szCs w:val="24"/>
        </w:rPr>
        <w:t>电缆首末端、分支处及中间接头处应设</w:t>
      </w:r>
      <w:r>
        <w:rPr>
          <w:rFonts w:ascii="宋体" w:hAnsi="宋体" w:eastAsia="宋体" w:cs="宋体"/>
          <w:strike/>
          <w:spacing w:val="-1"/>
          <w:sz w:val="24"/>
          <w:szCs w:val="24"/>
        </w:rPr>
        <w:t>标志牌。</w:t>
      </w:r>
    </w:p>
    <w:p w14:paraId="311E2FDA">
      <w:pPr>
        <w:spacing w:before="154"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4.1.10    </w:t>
      </w:r>
      <w:r>
        <w:rPr>
          <w:rFonts w:ascii="宋体" w:hAnsi="宋体" w:eastAsia="宋体" w:cs="宋体"/>
          <w:strike/>
          <w:sz w:val="24"/>
          <w:szCs w:val="24"/>
        </w:rPr>
        <w:t>当电缆穿越不同防火区时，其洞口应采用不燃材料进</w:t>
      </w:r>
      <w:r>
        <w:rPr>
          <w:rFonts w:ascii="宋体" w:hAnsi="宋体" w:eastAsia="宋体" w:cs="宋体"/>
          <w:strike/>
          <w:spacing w:val="-1"/>
          <w:sz w:val="24"/>
          <w:szCs w:val="24"/>
        </w:rPr>
        <w:t>行封堵。</w:t>
      </w:r>
    </w:p>
    <w:p w14:paraId="69E0EEF5">
      <w:pPr>
        <w:spacing w:before="155" w:line="279" w:lineRule="auto"/>
        <w:ind w:left="5" w:hanging="5"/>
        <w:rPr>
          <w:rFonts w:ascii="宋体" w:hAnsi="宋体" w:eastAsia="宋体" w:cs="宋体"/>
          <w:sz w:val="24"/>
          <w:szCs w:val="24"/>
        </w:rPr>
      </w:pPr>
      <w:r>
        <w:rPr>
          <w:rFonts w:ascii="Times New Roman" w:hAnsi="Times New Roman" w:eastAsia="Times New Roman" w:cs="Times New Roman"/>
          <w:strike/>
          <w:sz w:val="24"/>
          <w:szCs w:val="24"/>
        </w:rPr>
        <w:t xml:space="preserve">4.10.1    </w:t>
      </w:r>
      <w:r>
        <w:rPr>
          <w:rFonts w:ascii="宋体" w:hAnsi="宋体" w:eastAsia="宋体" w:cs="宋体"/>
          <w:strike/>
          <w:sz w:val="24"/>
          <w:szCs w:val="24"/>
        </w:rPr>
        <w:t>当电缆铜护套作为保护导体使用时，终端接地铜片的最小截面积不</w:t>
      </w:r>
      <w:r>
        <w:rPr>
          <w:rFonts w:ascii="宋体" w:hAnsi="宋体" w:eastAsia="宋体" w:cs="宋体"/>
          <w:strike/>
          <w:spacing w:val="-1"/>
          <w:sz w:val="24"/>
          <w:szCs w:val="24"/>
        </w:rPr>
        <w:t>应小于电缆</w:t>
      </w:r>
      <w:r>
        <w:rPr>
          <w:rFonts w:ascii="宋体" w:hAnsi="宋体" w:eastAsia="宋体" w:cs="宋体"/>
          <w:sz w:val="24"/>
          <w:szCs w:val="24"/>
        </w:rPr>
        <w:t xml:space="preserve"> </w:t>
      </w:r>
      <w:r>
        <w:rPr>
          <w:rFonts w:ascii="宋体" w:hAnsi="宋体" w:eastAsia="宋体" w:cs="宋体"/>
          <w:strike/>
          <w:spacing w:val="-1"/>
          <w:sz w:val="24"/>
          <w:szCs w:val="24"/>
        </w:rPr>
        <w:t>铜护套截面积，电缆接地连接线允许最小截面积应符合表</w:t>
      </w:r>
      <w:r>
        <w:rPr>
          <w:rFonts w:ascii="宋体" w:hAnsi="宋体" w:eastAsia="宋体" w:cs="宋体"/>
          <w:strike/>
          <w:spacing w:val="-57"/>
          <w:sz w:val="24"/>
          <w:szCs w:val="24"/>
        </w:rPr>
        <w:t xml:space="preserve"> </w:t>
      </w:r>
      <w:r>
        <w:rPr>
          <w:rFonts w:ascii="Times New Roman" w:hAnsi="Times New Roman" w:eastAsia="Times New Roman" w:cs="Times New Roman"/>
          <w:strike/>
          <w:spacing w:val="-1"/>
          <w:sz w:val="24"/>
          <w:szCs w:val="24"/>
        </w:rPr>
        <w:t>4.10.1</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w:t>
      </w:r>
    </w:p>
    <w:p w14:paraId="56D2234D">
      <w:pPr>
        <w:spacing w:before="181" w:line="220" w:lineRule="auto"/>
        <w:ind w:left="2780"/>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9"/>
          <w:sz w:val="21"/>
          <w:szCs w:val="21"/>
        </w:rPr>
        <w:t xml:space="preserve"> </w:t>
      </w:r>
      <w:r>
        <w:rPr>
          <w:rFonts w:ascii="Times New Roman" w:hAnsi="Times New Roman" w:eastAsia="Times New Roman" w:cs="Times New Roman"/>
          <w:strike/>
          <w:spacing w:val="-1"/>
          <w:sz w:val="21"/>
          <w:szCs w:val="21"/>
        </w:rPr>
        <w:t xml:space="preserve">4.10.1    </w:t>
      </w:r>
      <w:r>
        <w:rPr>
          <w:rFonts w:ascii="宋体" w:hAnsi="宋体" w:eastAsia="宋体" w:cs="宋体"/>
          <w:strike/>
          <w:spacing w:val="-1"/>
          <w:sz w:val="21"/>
          <w:szCs w:val="21"/>
        </w:rPr>
        <w:t>接地连接线允许最小截面积</w:t>
      </w:r>
    </w:p>
    <w:p w14:paraId="52071224">
      <w:pPr>
        <w:spacing w:line="18"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3"/>
        <w:gridCol w:w="4263"/>
      </w:tblGrid>
      <w:tr w14:paraId="0ACFB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263" w:type="dxa"/>
            <w:vAlign w:val="top"/>
          </w:tcPr>
          <w:p w14:paraId="599B8BC5">
            <w:pPr>
              <w:pStyle w:val="6"/>
              <w:spacing w:before="176" w:line="220" w:lineRule="auto"/>
              <w:ind w:left="934"/>
            </w:pPr>
            <w:r>
              <w:rPr>
                <w:spacing w:val="-4"/>
              </w:rPr>
              <w:t>电缆芯线截面积</w:t>
            </w:r>
            <w:r>
              <w:rPr>
                <w:spacing w:val="-35"/>
              </w:rPr>
              <w:t xml:space="preserve"> </w:t>
            </w:r>
            <w:r>
              <w:rPr>
                <w:rFonts w:ascii="Times New Roman" w:hAnsi="Times New Roman" w:eastAsia="Times New Roman" w:cs="Times New Roman"/>
                <w:spacing w:val="-4"/>
              </w:rPr>
              <w:t>S</w:t>
            </w:r>
            <w:r>
              <w:rPr>
                <w:spacing w:val="-4"/>
              </w:rPr>
              <w:t>（</w:t>
            </w:r>
            <w:r>
              <w:rPr>
                <w:rFonts w:ascii="Times New Roman" w:hAnsi="Times New Roman" w:eastAsia="Times New Roman" w:cs="Times New Roman"/>
                <w:spacing w:val="-4"/>
              </w:rPr>
              <w:t>mm</w:t>
            </w:r>
            <w:r>
              <w:rPr>
                <w:rFonts w:ascii="Times New Roman" w:hAnsi="Times New Roman" w:eastAsia="Times New Roman" w:cs="Times New Roman"/>
                <w:spacing w:val="-4"/>
                <w:position w:val="7"/>
                <w:sz w:val="14"/>
                <w:szCs w:val="14"/>
              </w:rPr>
              <w:t>2</w:t>
            </w:r>
            <w:r>
              <w:rPr>
                <w:spacing w:val="-4"/>
              </w:rPr>
              <w:t>）</w:t>
            </w:r>
          </w:p>
        </w:tc>
        <w:tc>
          <w:tcPr>
            <w:tcW w:w="4263" w:type="dxa"/>
            <w:vAlign w:val="top"/>
          </w:tcPr>
          <w:p w14:paraId="11D7E6DA">
            <w:pPr>
              <w:pStyle w:val="6"/>
              <w:spacing w:before="176" w:line="220" w:lineRule="auto"/>
              <w:ind w:left="467"/>
            </w:pPr>
            <w:r>
              <w:rPr>
                <w:spacing w:val="-1"/>
              </w:rPr>
              <w:t>接地连接线允许最小截面积（</w:t>
            </w:r>
            <w:r>
              <w:rPr>
                <w:rFonts w:ascii="Times New Roman" w:hAnsi="Times New Roman" w:eastAsia="Times New Roman" w:cs="Times New Roman"/>
                <w:spacing w:val="-1"/>
              </w:rPr>
              <w:t>mm</w:t>
            </w:r>
            <w:r>
              <w:rPr>
                <w:rFonts w:ascii="Times New Roman" w:hAnsi="Times New Roman" w:eastAsia="Times New Roman" w:cs="Times New Roman"/>
                <w:spacing w:val="-1"/>
                <w:position w:val="7"/>
                <w:sz w:val="14"/>
                <w:szCs w:val="14"/>
              </w:rPr>
              <w:t>2</w:t>
            </w:r>
            <w:r>
              <w:rPr>
                <w:spacing w:val="-1"/>
              </w:rPr>
              <w:t>）</w:t>
            </w:r>
          </w:p>
        </w:tc>
      </w:tr>
      <w:tr w14:paraId="033AF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4263" w:type="dxa"/>
            <w:vAlign w:val="top"/>
          </w:tcPr>
          <w:p w14:paraId="3F318597">
            <w:pPr>
              <w:pStyle w:val="6"/>
              <w:spacing w:before="173" w:line="229" w:lineRule="auto"/>
              <w:ind w:left="1875"/>
              <w:rPr>
                <w:rFonts w:ascii="Times New Roman" w:hAnsi="Times New Roman" w:eastAsia="Times New Roman" w:cs="Times New Roman"/>
              </w:rPr>
            </w:pPr>
            <w:r>
              <w:rPr>
                <w:rFonts w:ascii="Times New Roman" w:hAnsi="Times New Roman" w:eastAsia="Times New Roman" w:cs="Times New Roman"/>
                <w:spacing w:val="-4"/>
              </w:rPr>
              <w:t>S</w:t>
            </w:r>
            <w:r>
              <w:rPr>
                <w:spacing w:val="-4"/>
              </w:rPr>
              <w:t>≤</w:t>
            </w:r>
            <w:r>
              <w:rPr>
                <w:rFonts w:ascii="Times New Roman" w:hAnsi="Times New Roman" w:eastAsia="Times New Roman" w:cs="Times New Roman"/>
                <w:spacing w:val="-4"/>
              </w:rPr>
              <w:t>16</w:t>
            </w:r>
          </w:p>
        </w:tc>
        <w:tc>
          <w:tcPr>
            <w:tcW w:w="4263" w:type="dxa"/>
            <w:vAlign w:val="top"/>
          </w:tcPr>
          <w:p w14:paraId="7A59D083">
            <w:pPr>
              <w:spacing w:before="212" w:line="186" w:lineRule="auto"/>
              <w:ind w:left="2083"/>
              <w:rPr>
                <w:rFonts w:ascii="Times New Roman" w:hAnsi="Times New Roman" w:eastAsia="Times New Roman" w:cs="Times New Roman"/>
                <w:sz w:val="21"/>
                <w:szCs w:val="21"/>
              </w:rPr>
            </w:pPr>
            <w:r>
              <w:rPr>
                <w:rFonts w:ascii="Times New Roman" w:hAnsi="Times New Roman" w:eastAsia="Times New Roman" w:cs="Times New Roman"/>
                <w:sz w:val="21"/>
                <w:szCs w:val="21"/>
              </w:rPr>
              <w:t>S</w:t>
            </w:r>
          </w:p>
        </w:tc>
      </w:tr>
      <w:tr w14:paraId="7364F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4263" w:type="dxa"/>
            <w:vAlign w:val="top"/>
          </w:tcPr>
          <w:p w14:paraId="06CB04BB">
            <w:pPr>
              <w:pStyle w:val="6"/>
              <w:spacing w:before="174" w:line="228" w:lineRule="auto"/>
              <w:ind w:left="1676"/>
              <w:rPr>
                <w:rFonts w:ascii="Times New Roman" w:hAnsi="Times New Roman" w:eastAsia="Times New Roman" w:cs="Times New Roman"/>
              </w:rPr>
            </w:pPr>
            <w:r>
              <w:rPr>
                <w:rFonts w:ascii="Times New Roman" w:hAnsi="Times New Roman" w:eastAsia="Times New Roman" w:cs="Times New Roman"/>
                <w:spacing w:val="-4"/>
              </w:rPr>
              <w:t>16</w:t>
            </w:r>
            <w:r>
              <w:rPr>
                <w:spacing w:val="-4"/>
              </w:rPr>
              <w:t>＜</w:t>
            </w:r>
            <w:r>
              <w:rPr>
                <w:rFonts w:ascii="Times New Roman" w:hAnsi="Times New Roman" w:eastAsia="Times New Roman" w:cs="Times New Roman"/>
                <w:spacing w:val="-4"/>
              </w:rPr>
              <w:t>S</w:t>
            </w:r>
            <w:r>
              <w:rPr>
                <w:spacing w:val="-4"/>
              </w:rPr>
              <w:t>≤</w:t>
            </w:r>
            <w:r>
              <w:rPr>
                <w:rFonts w:ascii="Times New Roman" w:hAnsi="Times New Roman" w:eastAsia="Times New Roman" w:cs="Times New Roman"/>
                <w:spacing w:val="-4"/>
              </w:rPr>
              <w:t>35</w:t>
            </w:r>
          </w:p>
        </w:tc>
        <w:tc>
          <w:tcPr>
            <w:tcW w:w="4263" w:type="dxa"/>
            <w:vAlign w:val="top"/>
          </w:tcPr>
          <w:p w14:paraId="6422C223">
            <w:pPr>
              <w:spacing w:before="213" w:line="186" w:lineRule="auto"/>
              <w:ind w:left="204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r>
      <w:tr w14:paraId="27B07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4263" w:type="dxa"/>
            <w:vAlign w:val="top"/>
          </w:tcPr>
          <w:p w14:paraId="62771911">
            <w:pPr>
              <w:pStyle w:val="6"/>
              <w:spacing w:before="176" w:line="230" w:lineRule="auto"/>
              <w:ind w:left="1608"/>
              <w:rPr>
                <w:rFonts w:ascii="Times New Roman" w:hAnsi="Times New Roman" w:eastAsia="Times New Roman" w:cs="Times New Roman"/>
              </w:rPr>
            </w:pPr>
            <w:r>
              <w:rPr>
                <w:rFonts w:ascii="Times New Roman" w:hAnsi="Times New Roman" w:eastAsia="Times New Roman" w:cs="Times New Roman"/>
                <w:spacing w:val="-1"/>
              </w:rPr>
              <w:t>35</w:t>
            </w:r>
            <w:r>
              <w:rPr>
                <w:spacing w:val="-1"/>
              </w:rPr>
              <w:t>＜</w:t>
            </w:r>
            <w:r>
              <w:rPr>
                <w:rFonts w:ascii="Times New Roman" w:hAnsi="Times New Roman" w:eastAsia="Times New Roman" w:cs="Times New Roman"/>
                <w:spacing w:val="-1"/>
              </w:rPr>
              <w:t>S</w:t>
            </w:r>
            <w:r>
              <w:rPr>
                <w:spacing w:val="-1"/>
              </w:rPr>
              <w:t>≤</w:t>
            </w:r>
            <w:r>
              <w:rPr>
                <w:rFonts w:ascii="Times New Roman" w:hAnsi="Times New Roman" w:eastAsia="Times New Roman" w:cs="Times New Roman"/>
                <w:spacing w:val="-1"/>
              </w:rPr>
              <w:t>400</w:t>
            </w:r>
          </w:p>
        </w:tc>
        <w:tc>
          <w:tcPr>
            <w:tcW w:w="4263" w:type="dxa"/>
            <w:vAlign w:val="top"/>
          </w:tcPr>
          <w:p w14:paraId="4F127641">
            <w:pPr>
              <w:spacing w:before="210" w:line="190" w:lineRule="auto"/>
              <w:ind w:left="2001"/>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S/2</w:t>
            </w:r>
          </w:p>
        </w:tc>
      </w:tr>
    </w:tbl>
    <w:p w14:paraId="602F75A6">
      <w:pPr>
        <w:spacing w:before="194" w:line="225" w:lineRule="auto"/>
        <w:ind w:left="14"/>
        <w:outlineLvl w:val="1"/>
        <w:rPr>
          <w:rFonts w:ascii="宋体" w:hAnsi="宋体" w:eastAsia="宋体" w:cs="宋体"/>
          <w:sz w:val="27"/>
          <w:szCs w:val="27"/>
        </w:rPr>
      </w:pPr>
      <w:bookmarkStart w:id="74" w:name="bookmark120"/>
      <w:bookmarkEnd w:id="74"/>
      <w:r>
        <w:rPr>
          <w:rFonts w:ascii="Times New Roman" w:hAnsi="Times New Roman" w:eastAsia="Times New Roman" w:cs="Times New Roman"/>
          <w:b/>
          <w:bCs/>
          <w:spacing w:val="5"/>
          <w:sz w:val="27"/>
          <w:szCs w:val="27"/>
        </w:rPr>
        <w:t>11.</w:t>
      </w:r>
      <w:r>
        <w:rPr>
          <w:rFonts w:ascii="Times New Roman" w:hAnsi="Times New Roman" w:eastAsia="Times New Roman" w:cs="Times New Roman"/>
          <w:b/>
          <w:bCs/>
          <w:spacing w:val="-25"/>
          <w:sz w:val="27"/>
          <w:szCs w:val="27"/>
        </w:rPr>
        <w:t xml:space="preserve"> </w:t>
      </w:r>
      <w:r>
        <w:rPr>
          <w:rFonts w:ascii="宋体" w:hAnsi="宋体" w:eastAsia="宋体" w:cs="宋体"/>
          <w:b/>
          <w:bCs/>
          <w:spacing w:val="5"/>
          <w:sz w:val="27"/>
          <w:szCs w:val="27"/>
        </w:rPr>
        <w:t>《家用燃气燃烧器具安装及验收规程》——</w:t>
      </w:r>
      <w:r>
        <w:rPr>
          <w:rFonts w:ascii="Times New Roman" w:hAnsi="Times New Roman" w:eastAsia="Times New Roman" w:cs="Times New Roman"/>
          <w:b/>
          <w:bCs/>
          <w:sz w:val="27"/>
          <w:szCs w:val="27"/>
        </w:rPr>
        <w:t>CJJ</w:t>
      </w:r>
      <w:r>
        <w:rPr>
          <w:rFonts w:ascii="Times New Roman" w:hAnsi="Times New Roman" w:eastAsia="Times New Roman" w:cs="Times New Roman"/>
          <w:b/>
          <w:bCs/>
          <w:spacing w:val="5"/>
          <w:sz w:val="27"/>
          <w:szCs w:val="27"/>
        </w:rPr>
        <w:t>12-2013</w:t>
      </w:r>
      <w:r>
        <w:rPr>
          <w:rFonts w:ascii="Times New Roman" w:hAnsi="Times New Roman" w:eastAsia="Times New Roman" w:cs="Times New Roman"/>
          <w:b/>
          <w:bCs/>
          <w:spacing w:val="-44"/>
          <w:sz w:val="27"/>
          <w:szCs w:val="27"/>
        </w:rPr>
        <w:t xml:space="preserve"> </w:t>
      </w:r>
      <w:r>
        <w:rPr>
          <w:rFonts w:ascii="宋体" w:hAnsi="宋体" w:eastAsia="宋体" w:cs="宋体"/>
          <w:b/>
          <w:bCs/>
          <w:spacing w:val="5"/>
          <w:sz w:val="27"/>
          <w:szCs w:val="27"/>
        </w:rPr>
        <w:t>【强条已废】</w:t>
      </w:r>
    </w:p>
    <w:p w14:paraId="64DE5461">
      <w:pPr>
        <w:spacing w:before="287"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GB55009-2021 </w:t>
      </w:r>
      <w:r>
        <w:rPr>
          <w:rFonts w:ascii="宋体" w:hAnsi="宋体" w:eastAsia="宋体" w:cs="宋体"/>
          <w:b/>
          <w:bCs/>
          <w:color w:val="0563C1"/>
          <w:spacing w:val="-2"/>
          <w:sz w:val="24"/>
          <w:szCs w:val="24"/>
          <w:u w:val="single" w:color="auto"/>
        </w:rPr>
        <w:t>燃气工程项目规范</w:t>
      </w:r>
      <w:r>
        <w:rPr>
          <w:rFonts w:ascii="宋体" w:hAnsi="宋体" w:eastAsia="宋体" w:cs="宋体"/>
          <w:b/>
          <w:bCs/>
          <w:color w:val="EE0000"/>
          <w:spacing w:val="-2"/>
          <w:sz w:val="24"/>
          <w:szCs w:val="24"/>
        </w:rPr>
        <w:t>》替代</w:t>
      </w:r>
    </w:p>
    <w:p w14:paraId="30FDDAB4">
      <w:pPr>
        <w:spacing w:before="153" w:line="219" w:lineRule="auto"/>
        <w:ind w:left="6"/>
        <w:rPr>
          <w:rFonts w:ascii="宋体" w:hAnsi="宋体" w:eastAsia="宋体" w:cs="宋体"/>
          <w:sz w:val="24"/>
          <w:szCs w:val="24"/>
        </w:rPr>
      </w:pPr>
      <w:r>
        <w:rPr>
          <w:rFonts w:ascii="Times New Roman" w:hAnsi="Times New Roman" w:eastAsia="Times New Roman" w:cs="Times New Roman"/>
          <w:strike/>
          <w:sz w:val="24"/>
          <w:szCs w:val="24"/>
        </w:rPr>
        <w:t xml:space="preserve">3.1.2    </w:t>
      </w:r>
      <w:r>
        <w:rPr>
          <w:rFonts w:ascii="宋体" w:hAnsi="宋体" w:eastAsia="宋体" w:cs="宋体"/>
          <w:strike/>
          <w:sz w:val="24"/>
          <w:szCs w:val="24"/>
        </w:rPr>
        <w:t>燃具铭牌上标定的燃气类别必须与安装处所</w:t>
      </w:r>
      <w:r>
        <w:rPr>
          <w:rFonts w:ascii="宋体" w:hAnsi="宋体" w:eastAsia="宋体" w:cs="宋体"/>
          <w:strike/>
          <w:spacing w:val="-1"/>
          <w:sz w:val="24"/>
          <w:szCs w:val="24"/>
        </w:rPr>
        <w:t>供应的燃气类别相</w:t>
      </w:r>
      <w:r>
        <w:rPr>
          <w:rFonts w:ascii="宋体" w:hAnsi="宋体" w:eastAsia="宋体" w:cs="宋体"/>
          <w:spacing w:val="-1"/>
          <w:sz w:val="24"/>
          <w:szCs w:val="24"/>
        </w:rPr>
        <w:t>一</w:t>
      </w:r>
      <w:r>
        <w:rPr>
          <w:rFonts w:ascii="宋体" w:hAnsi="宋体" w:eastAsia="宋体" w:cs="宋体"/>
          <w:strike/>
          <w:spacing w:val="-1"/>
          <w:sz w:val="24"/>
          <w:szCs w:val="24"/>
        </w:rPr>
        <w:t>致。</w:t>
      </w:r>
    </w:p>
    <w:p w14:paraId="243D8BF7">
      <w:pPr>
        <w:spacing w:before="156" w:line="280" w:lineRule="auto"/>
        <w:ind w:left="6" w:right="120"/>
        <w:rPr>
          <w:rFonts w:ascii="宋体" w:hAnsi="宋体" w:eastAsia="宋体" w:cs="宋体"/>
          <w:sz w:val="24"/>
          <w:szCs w:val="24"/>
        </w:rPr>
      </w:pPr>
      <w:r>
        <w:rPr>
          <w:rFonts w:ascii="Times New Roman" w:hAnsi="Times New Roman" w:eastAsia="Times New Roman" w:cs="Times New Roman"/>
          <w:strike/>
          <w:sz w:val="24"/>
          <w:szCs w:val="24"/>
        </w:rPr>
        <w:t xml:space="preserve">3.1.5    </w:t>
      </w:r>
      <w:r>
        <w:rPr>
          <w:rFonts w:ascii="宋体" w:hAnsi="宋体" w:eastAsia="宋体" w:cs="宋体"/>
          <w:strike/>
          <w:sz w:val="24"/>
          <w:szCs w:val="24"/>
        </w:rPr>
        <w:t>住宅中应预留燃具的安装位置，并应设置专用烟道或</w:t>
      </w:r>
      <w:r>
        <w:rPr>
          <w:rFonts w:ascii="宋体" w:hAnsi="宋体" w:eastAsia="宋体" w:cs="宋体"/>
          <w:strike/>
          <w:spacing w:val="-1"/>
          <w:sz w:val="24"/>
          <w:szCs w:val="24"/>
        </w:rPr>
        <w:t>在外墙上留有通往室外的</w:t>
      </w:r>
      <w:r>
        <w:rPr>
          <w:rFonts w:ascii="宋体" w:hAnsi="宋体" w:eastAsia="宋体" w:cs="宋体"/>
          <w:sz w:val="24"/>
          <w:szCs w:val="24"/>
        </w:rPr>
        <w:t xml:space="preserve"> </w:t>
      </w:r>
      <w:r>
        <w:rPr>
          <w:rFonts w:ascii="宋体" w:hAnsi="宋体" w:eastAsia="宋体" w:cs="宋体"/>
          <w:strike/>
          <w:spacing w:val="-3"/>
          <w:sz w:val="24"/>
          <w:szCs w:val="24"/>
        </w:rPr>
        <w:t>孔洞。</w:t>
      </w:r>
    </w:p>
    <w:p w14:paraId="299ED320">
      <w:pPr>
        <w:spacing w:before="151" w:line="299" w:lineRule="auto"/>
        <w:ind w:left="6" w:right="120" w:hanging="6"/>
        <w:rPr>
          <w:rFonts w:ascii="宋体" w:hAnsi="宋体" w:eastAsia="宋体" w:cs="宋体"/>
          <w:sz w:val="24"/>
          <w:szCs w:val="24"/>
        </w:rPr>
      </w:pPr>
      <w:r>
        <w:rPr>
          <w:rFonts w:ascii="Times New Roman" w:hAnsi="Times New Roman" w:eastAsia="Times New Roman" w:cs="Times New Roman"/>
          <w:strike/>
          <w:sz w:val="24"/>
          <w:szCs w:val="24"/>
        </w:rPr>
        <w:t xml:space="preserve">4.1.2    </w:t>
      </w:r>
      <w:r>
        <w:rPr>
          <w:rFonts w:ascii="宋体" w:hAnsi="宋体" w:eastAsia="宋体" w:cs="宋体"/>
          <w:strike/>
          <w:sz w:val="24"/>
          <w:szCs w:val="24"/>
        </w:rPr>
        <w:t>使用液化石油气的燃具不应设置在地下室和半地下室。使用人工煤</w:t>
      </w:r>
      <w:r>
        <w:rPr>
          <w:rFonts w:ascii="宋体" w:hAnsi="宋体" w:eastAsia="宋体" w:cs="宋体"/>
          <w:strike/>
          <w:spacing w:val="-1"/>
          <w:sz w:val="24"/>
          <w:szCs w:val="24"/>
        </w:rPr>
        <w:t>气、天然气</w:t>
      </w:r>
      <w:r>
        <w:rPr>
          <w:rFonts w:ascii="宋体" w:hAnsi="宋体" w:eastAsia="宋体" w:cs="宋体"/>
          <w:sz w:val="24"/>
          <w:szCs w:val="24"/>
        </w:rPr>
        <w:t xml:space="preserve"> </w:t>
      </w:r>
      <w:r>
        <w:rPr>
          <w:rFonts w:ascii="宋体" w:hAnsi="宋体" w:eastAsia="宋体" w:cs="宋体"/>
          <w:strike/>
          <w:sz w:val="24"/>
          <w:szCs w:val="24"/>
        </w:rPr>
        <w:t>的燃具不应设置在地下室，当燃具设置在半地下室或地上</w:t>
      </w:r>
      <w:r>
        <w:rPr>
          <w:rFonts w:ascii="宋体" w:hAnsi="宋体" w:eastAsia="宋体" w:cs="宋体"/>
          <w:strike/>
          <w:spacing w:val="-1"/>
          <w:sz w:val="24"/>
          <w:szCs w:val="24"/>
        </w:rPr>
        <w:t>密闭房间时，应设置机械通</w:t>
      </w:r>
      <w:r>
        <w:rPr>
          <w:rFonts w:ascii="宋体" w:hAnsi="宋体" w:eastAsia="宋体" w:cs="宋体"/>
          <w:sz w:val="24"/>
          <w:szCs w:val="24"/>
        </w:rPr>
        <w:t xml:space="preserve"> </w:t>
      </w:r>
      <w:r>
        <w:rPr>
          <w:rFonts w:ascii="宋体" w:hAnsi="宋体" w:eastAsia="宋体" w:cs="宋体"/>
          <w:strike/>
          <w:spacing w:val="-1"/>
          <w:sz w:val="24"/>
          <w:szCs w:val="24"/>
        </w:rPr>
        <w:t>风、燃气</w:t>
      </w:r>
      <w:r>
        <w:rPr>
          <w:rFonts w:ascii="Times New Roman" w:hAnsi="Times New Roman" w:eastAsia="Times New Roman" w:cs="Times New Roman"/>
          <w:spacing w:val="-1"/>
          <w:sz w:val="24"/>
          <w:szCs w:val="24"/>
        </w:rPr>
        <w:t>/</w:t>
      </w:r>
      <w:r>
        <w:rPr>
          <w:rFonts w:ascii="宋体" w:hAnsi="宋体" w:eastAsia="宋体" w:cs="宋体"/>
          <w:strike/>
          <w:spacing w:val="-1"/>
          <w:sz w:val="24"/>
          <w:szCs w:val="24"/>
        </w:rPr>
        <w:t>烟气（</w:t>
      </w:r>
      <w:r>
        <w:rPr>
          <w:rFonts w:ascii="宋体" w:hAnsi="宋体" w:eastAsia="宋体" w:cs="宋体"/>
          <w:spacing w:val="-1"/>
          <w:sz w:val="24"/>
          <w:szCs w:val="24"/>
        </w:rPr>
        <w:t>一</w:t>
      </w:r>
      <w:r>
        <w:rPr>
          <w:rFonts w:ascii="宋体" w:hAnsi="宋体" w:eastAsia="宋体" w:cs="宋体"/>
          <w:strike/>
          <w:spacing w:val="-1"/>
          <w:sz w:val="24"/>
          <w:szCs w:val="24"/>
        </w:rPr>
        <w:t>氧化碳）浓度检测报警等安全设施。</w:t>
      </w:r>
    </w:p>
    <w:p w14:paraId="2AB19B05">
      <w:pPr>
        <w:spacing w:before="154" w:line="281" w:lineRule="auto"/>
        <w:ind w:left="6" w:right="479" w:hanging="6"/>
        <w:rPr>
          <w:rFonts w:ascii="宋体" w:hAnsi="宋体" w:eastAsia="宋体" w:cs="宋体"/>
          <w:sz w:val="24"/>
          <w:szCs w:val="24"/>
        </w:rPr>
      </w:pPr>
      <w:r>
        <w:rPr>
          <w:rFonts w:ascii="Times New Roman" w:hAnsi="Times New Roman" w:eastAsia="Times New Roman" w:cs="Times New Roman"/>
          <w:strike/>
          <w:sz w:val="24"/>
          <w:szCs w:val="24"/>
        </w:rPr>
        <w:t xml:space="preserve">4.6.16    </w:t>
      </w:r>
      <w:r>
        <w:rPr>
          <w:rFonts w:ascii="宋体" w:hAnsi="宋体" w:eastAsia="宋体" w:cs="宋体"/>
          <w:strike/>
          <w:sz w:val="24"/>
          <w:szCs w:val="24"/>
        </w:rPr>
        <w:t>在燃具停用时，主、支并列型共用烟道的支烟道口处静压值应</w:t>
      </w:r>
      <w:r>
        <w:rPr>
          <w:rFonts w:ascii="宋体" w:hAnsi="宋体" w:eastAsia="宋体" w:cs="宋体"/>
          <w:strike/>
          <w:spacing w:val="-1"/>
          <w:sz w:val="24"/>
          <w:szCs w:val="24"/>
        </w:rPr>
        <w:t>小于零（负</w:t>
      </w:r>
      <w:r>
        <w:rPr>
          <w:rFonts w:ascii="宋体" w:hAnsi="宋体" w:eastAsia="宋体" w:cs="宋体"/>
          <w:sz w:val="24"/>
          <w:szCs w:val="24"/>
        </w:rPr>
        <w:t xml:space="preserve"> </w:t>
      </w:r>
      <w:r>
        <w:rPr>
          <w:rFonts w:ascii="宋体" w:hAnsi="宋体" w:eastAsia="宋体" w:cs="宋体"/>
          <w:strike/>
          <w:spacing w:val="-3"/>
          <w:sz w:val="24"/>
          <w:szCs w:val="24"/>
        </w:rPr>
        <w:t>压）。</w:t>
      </w:r>
    </w:p>
    <w:p w14:paraId="60D4B783">
      <w:pPr>
        <w:spacing w:before="197" w:line="226" w:lineRule="auto"/>
        <w:ind w:left="14"/>
        <w:outlineLvl w:val="1"/>
        <w:rPr>
          <w:rFonts w:ascii="Times New Roman" w:hAnsi="Times New Roman" w:eastAsia="Times New Roman" w:cs="Times New Roman"/>
          <w:sz w:val="27"/>
          <w:szCs w:val="27"/>
        </w:rPr>
      </w:pPr>
      <w:bookmarkStart w:id="75" w:name="bookmark121"/>
      <w:bookmarkEnd w:id="75"/>
      <w:r>
        <w:rPr>
          <w:rFonts w:ascii="Times New Roman" w:hAnsi="Times New Roman" w:eastAsia="Times New Roman" w:cs="Times New Roman"/>
          <w:b/>
          <w:bCs/>
          <w:spacing w:val="4"/>
          <w:sz w:val="27"/>
          <w:szCs w:val="27"/>
        </w:rPr>
        <w:t>12.</w:t>
      </w:r>
      <w:r>
        <w:rPr>
          <w:rFonts w:ascii="Times New Roman" w:hAnsi="Times New Roman" w:eastAsia="Times New Roman" w:cs="Times New Roman"/>
          <w:b/>
          <w:bCs/>
          <w:spacing w:val="-39"/>
          <w:sz w:val="27"/>
          <w:szCs w:val="27"/>
        </w:rPr>
        <w:t xml:space="preserve"> </w:t>
      </w:r>
      <w:r>
        <w:rPr>
          <w:rFonts w:ascii="宋体" w:hAnsi="宋体" w:eastAsia="宋体" w:cs="宋体"/>
          <w:b/>
          <w:bCs/>
          <w:spacing w:val="4"/>
          <w:sz w:val="27"/>
          <w:szCs w:val="27"/>
        </w:rPr>
        <w:t>《埋地塑料排水管道工程技术规范》</w:t>
      </w:r>
      <w:r>
        <w:rPr>
          <w:rFonts w:ascii="宋体" w:hAnsi="宋体" w:eastAsia="宋体" w:cs="宋体"/>
          <w:spacing w:val="-79"/>
          <w:sz w:val="27"/>
          <w:szCs w:val="27"/>
        </w:rPr>
        <w:t xml:space="preserve"> </w:t>
      </w:r>
      <w:r>
        <w:rPr>
          <w:rFonts w:ascii="宋体" w:hAnsi="宋体" w:eastAsia="宋体" w:cs="宋体"/>
          <w:b/>
          <w:bCs/>
          <w:spacing w:val="4"/>
          <w:sz w:val="27"/>
          <w:szCs w:val="27"/>
        </w:rPr>
        <w:t>——</w:t>
      </w:r>
      <w:r>
        <w:rPr>
          <w:rFonts w:ascii="Times New Roman" w:hAnsi="Times New Roman" w:eastAsia="Times New Roman" w:cs="Times New Roman"/>
          <w:b/>
          <w:bCs/>
          <w:sz w:val="27"/>
          <w:szCs w:val="27"/>
        </w:rPr>
        <w:t>CJJ</w:t>
      </w:r>
      <w:r>
        <w:rPr>
          <w:rFonts w:ascii="Times New Roman" w:hAnsi="Times New Roman" w:eastAsia="Times New Roman" w:cs="Times New Roman"/>
          <w:b/>
          <w:bCs/>
          <w:spacing w:val="4"/>
          <w:sz w:val="27"/>
          <w:szCs w:val="27"/>
        </w:rPr>
        <w:t>143-20</w:t>
      </w:r>
      <w:r>
        <w:rPr>
          <w:rFonts w:ascii="Times New Roman" w:hAnsi="Times New Roman" w:eastAsia="Times New Roman" w:cs="Times New Roman"/>
          <w:b/>
          <w:bCs/>
          <w:spacing w:val="3"/>
          <w:sz w:val="27"/>
          <w:szCs w:val="27"/>
        </w:rPr>
        <w:t>10</w:t>
      </w:r>
    </w:p>
    <w:p w14:paraId="51433EE8">
      <w:pPr>
        <w:spacing w:before="287"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4.1.8    </w:t>
      </w:r>
      <w:r>
        <w:rPr>
          <w:rFonts w:ascii="宋体" w:hAnsi="宋体" w:eastAsia="宋体" w:cs="宋体"/>
          <w:spacing w:val="-1"/>
          <w:sz w:val="24"/>
          <w:szCs w:val="24"/>
        </w:rPr>
        <w:t>塑料排水管道不得采用刚性管基基础，严禁采用刚性桩直接支撑管道。</w:t>
      </w:r>
    </w:p>
    <w:p w14:paraId="3796A1CB">
      <w:pPr>
        <w:spacing w:before="156" w:line="278" w:lineRule="auto"/>
        <w:ind w:left="5" w:right="120" w:hanging="5"/>
        <w:rPr>
          <w:rFonts w:ascii="宋体" w:hAnsi="宋体" w:eastAsia="宋体" w:cs="宋体"/>
          <w:sz w:val="24"/>
          <w:szCs w:val="24"/>
        </w:rPr>
      </w:pPr>
      <w:r>
        <w:rPr>
          <w:rFonts w:ascii="Times New Roman" w:hAnsi="Times New Roman" w:eastAsia="Times New Roman" w:cs="Times New Roman"/>
          <w:sz w:val="24"/>
          <w:szCs w:val="24"/>
        </w:rPr>
        <w:t xml:space="preserve">4.5.2    </w:t>
      </w:r>
      <w:r>
        <w:rPr>
          <w:rFonts w:ascii="宋体" w:hAnsi="宋体" w:eastAsia="宋体" w:cs="宋体"/>
          <w:sz w:val="24"/>
          <w:szCs w:val="24"/>
        </w:rPr>
        <w:t>塑料排水管道在外压荷载作用下，其最大环截面（拉）压应力设计</w:t>
      </w:r>
      <w:r>
        <w:rPr>
          <w:rFonts w:ascii="宋体" w:hAnsi="宋体" w:eastAsia="宋体" w:cs="宋体"/>
          <w:spacing w:val="-1"/>
          <w:sz w:val="24"/>
          <w:szCs w:val="24"/>
        </w:rPr>
        <w:t>值不应大于</w:t>
      </w:r>
      <w:r>
        <w:rPr>
          <w:rFonts w:ascii="宋体" w:hAnsi="宋体" w:eastAsia="宋体" w:cs="宋体"/>
          <w:sz w:val="24"/>
          <w:szCs w:val="24"/>
        </w:rPr>
        <w:t xml:space="preserve"> </w:t>
      </w:r>
      <w:r>
        <w:rPr>
          <w:rFonts w:ascii="宋体" w:hAnsi="宋体" w:eastAsia="宋体" w:cs="宋体"/>
          <w:spacing w:val="-2"/>
          <w:sz w:val="24"/>
          <w:szCs w:val="24"/>
        </w:rPr>
        <w:t>抗（拉）压强度设计值。管道环截面强度计算应采用下列极限状态表达式：</w:t>
      </w:r>
    </w:p>
    <w:p w14:paraId="7F0A9E3C">
      <w:pPr>
        <w:pStyle w:val="2"/>
        <w:spacing w:before="157" w:line="220" w:lineRule="auto"/>
        <w:ind w:left="2671"/>
        <w:rPr>
          <w:rFonts w:ascii="宋体" w:hAnsi="宋体" w:eastAsia="宋体" w:cs="宋体"/>
          <w:sz w:val="24"/>
          <w:szCs w:val="24"/>
        </w:rPr>
      </w:pPr>
      <w:r>
        <w:rPr>
          <w:i/>
          <w:iCs/>
          <w:spacing w:val="-18"/>
          <w:sz w:val="25"/>
          <w:szCs w:val="25"/>
        </w:rPr>
        <w:t>γ</w:t>
      </w:r>
      <w:r>
        <w:rPr>
          <w:i/>
          <w:iCs/>
          <w:spacing w:val="-31"/>
          <w:sz w:val="25"/>
          <w:szCs w:val="25"/>
        </w:rPr>
        <w:t xml:space="preserve"> </w:t>
      </w:r>
      <w:r>
        <w:rPr>
          <w:rFonts w:ascii="Times New Roman" w:hAnsi="Times New Roman" w:eastAsia="Times New Roman" w:cs="Times New Roman"/>
          <w:spacing w:val="-5"/>
          <w:position w:val="-5"/>
          <w:sz w:val="14"/>
          <w:szCs w:val="14"/>
        </w:rPr>
        <w:t>0</w:t>
      </w:r>
      <w:r>
        <w:rPr>
          <w:rFonts w:ascii="Times New Roman" w:hAnsi="Times New Roman" w:eastAsia="Times New Roman" w:cs="Times New Roman"/>
          <w:spacing w:val="-9"/>
          <w:position w:val="-5"/>
          <w:sz w:val="14"/>
          <w:szCs w:val="14"/>
        </w:rPr>
        <w:t xml:space="preserve"> </w:t>
      </w:r>
      <w:r>
        <w:rPr>
          <w:i/>
          <w:iCs/>
          <w:spacing w:val="-2"/>
          <w:sz w:val="25"/>
          <w:szCs w:val="25"/>
        </w:rPr>
        <w:t>σ</w:t>
      </w:r>
      <w:r>
        <w:rPr>
          <w:i/>
          <w:iCs/>
          <w:spacing w:val="19"/>
          <w:w w:val="101"/>
          <w:sz w:val="25"/>
          <w:szCs w:val="25"/>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f</w:t>
      </w:r>
      <w:r>
        <w:rPr>
          <w:rFonts w:ascii="Times New Roman" w:hAnsi="Times New Roman" w:eastAsia="Times New Roman" w:cs="Times New Roman"/>
          <w:spacing w:val="1"/>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4.5.2</w:t>
      </w:r>
      <w:r>
        <w:rPr>
          <w:rFonts w:ascii="宋体" w:hAnsi="宋体" w:eastAsia="宋体" w:cs="宋体"/>
          <w:spacing w:val="-2"/>
          <w:sz w:val="24"/>
          <w:szCs w:val="24"/>
        </w:rPr>
        <w:t>）</w:t>
      </w:r>
    </w:p>
    <w:p w14:paraId="68A2A883">
      <w:pPr>
        <w:pStyle w:val="2"/>
        <w:spacing w:before="142" w:line="338" w:lineRule="auto"/>
        <w:ind w:left="7" w:right="151" w:firstLine="2"/>
        <w:rPr>
          <w:rFonts w:ascii="宋体" w:hAnsi="宋体" w:eastAsia="宋体" w:cs="宋体"/>
          <w:sz w:val="24"/>
          <w:szCs w:val="24"/>
        </w:rPr>
      </w:pPr>
      <w:r>
        <w:rPr>
          <w:rFonts w:ascii="宋体" w:hAnsi="宋体" w:eastAsia="宋体" w:cs="宋体"/>
          <w:spacing w:val="-1"/>
          <w:sz w:val="24"/>
          <w:szCs w:val="24"/>
        </w:rPr>
        <w:t>式中：</w:t>
      </w:r>
      <w:r>
        <w:rPr>
          <w:rFonts w:ascii="宋体" w:hAnsi="宋体" w:eastAsia="宋体" w:cs="宋体"/>
          <w:spacing w:val="-74"/>
          <w:sz w:val="24"/>
          <w:szCs w:val="24"/>
        </w:rPr>
        <w:t xml:space="preserve"> </w:t>
      </w:r>
      <w:r>
        <w:rPr>
          <w:i/>
          <w:iCs/>
          <w:spacing w:val="-1"/>
          <w:sz w:val="26"/>
          <w:szCs w:val="26"/>
        </w:rPr>
        <w:t xml:space="preserve">σ </w:t>
      </w:r>
      <w:r>
        <w:rPr>
          <w:rFonts w:ascii="宋体" w:hAnsi="宋体" w:eastAsia="宋体" w:cs="宋体"/>
          <w:spacing w:val="-1"/>
          <w:sz w:val="24"/>
          <w:szCs w:val="24"/>
        </w:rPr>
        <w:t>——管道最大环向（拉）压应力设计值</w:t>
      </w:r>
      <w:r>
        <w:rPr>
          <w:rFonts w:ascii="宋体" w:hAnsi="宋体" w:eastAsia="宋体" w:cs="宋体"/>
          <w:spacing w:val="-2"/>
          <w:sz w:val="24"/>
          <w:szCs w:val="24"/>
        </w:rPr>
        <w:t>（</w:t>
      </w:r>
      <w:r>
        <w:rPr>
          <w:rFonts w:ascii="Times New Roman" w:hAnsi="Times New Roman" w:eastAsia="Times New Roman" w:cs="Times New Roman"/>
          <w:spacing w:val="-2"/>
          <w:sz w:val="24"/>
          <w:szCs w:val="24"/>
        </w:rPr>
        <w:t>MPa</w:t>
      </w:r>
      <w:r>
        <w:rPr>
          <w:rFonts w:ascii="宋体" w:hAnsi="宋体" w:eastAsia="宋体" w:cs="宋体"/>
          <w:spacing w:val="-2"/>
          <w:sz w:val="24"/>
          <w:szCs w:val="24"/>
        </w:rPr>
        <w:t>），可根据不同管材种类分别</w:t>
      </w:r>
      <w:r>
        <w:rPr>
          <w:rFonts w:ascii="宋体" w:hAnsi="宋体" w:eastAsia="宋体" w:cs="宋体"/>
          <w:sz w:val="24"/>
          <w:szCs w:val="24"/>
        </w:rPr>
        <w:t xml:space="preserve"> </w:t>
      </w:r>
      <w:r>
        <w:rPr>
          <w:rFonts w:ascii="宋体" w:hAnsi="宋体" w:eastAsia="宋体" w:cs="宋体"/>
          <w:spacing w:val="-2"/>
          <w:sz w:val="24"/>
          <w:szCs w:val="24"/>
        </w:rPr>
        <w:t>按本规程公式（</w:t>
      </w:r>
      <w:r>
        <w:rPr>
          <w:rFonts w:ascii="Times New Roman" w:hAnsi="Times New Roman" w:eastAsia="Times New Roman" w:cs="Times New Roman"/>
          <w:spacing w:val="-2"/>
          <w:sz w:val="24"/>
          <w:szCs w:val="24"/>
        </w:rPr>
        <w:t>4.5.3-1</w:t>
      </w:r>
      <w:r>
        <w:rPr>
          <w:rFonts w:ascii="宋体" w:hAnsi="宋体" w:eastAsia="宋体" w:cs="宋体"/>
          <w:spacing w:val="-2"/>
          <w:sz w:val="24"/>
          <w:szCs w:val="24"/>
        </w:rPr>
        <w:t>）、公式（</w:t>
      </w:r>
      <w:r>
        <w:rPr>
          <w:rFonts w:ascii="Times New Roman" w:hAnsi="Times New Roman" w:eastAsia="Times New Roman" w:cs="Times New Roman"/>
          <w:spacing w:val="-2"/>
          <w:sz w:val="24"/>
          <w:szCs w:val="24"/>
        </w:rPr>
        <w:t>4.5.3-3</w:t>
      </w:r>
      <w:r>
        <w:rPr>
          <w:rFonts w:ascii="宋体" w:hAnsi="宋体" w:eastAsia="宋体" w:cs="宋体"/>
          <w:spacing w:val="-2"/>
          <w:sz w:val="24"/>
          <w:szCs w:val="24"/>
        </w:rPr>
        <w:t>）计算；</w:t>
      </w:r>
    </w:p>
    <w:p w14:paraId="29E3DB4A">
      <w:pPr>
        <w:pStyle w:val="2"/>
        <w:spacing w:before="1" w:line="212" w:lineRule="auto"/>
        <w:ind w:left="628"/>
        <w:rPr>
          <w:rFonts w:ascii="宋体" w:hAnsi="宋体" w:eastAsia="宋体" w:cs="宋体"/>
          <w:sz w:val="24"/>
          <w:szCs w:val="24"/>
        </w:rPr>
      </w:pPr>
      <w:r>
        <w:rPr>
          <w:i/>
          <w:iCs/>
          <w:spacing w:val="-17"/>
          <w:sz w:val="25"/>
          <w:szCs w:val="25"/>
        </w:rPr>
        <w:t>γ</w:t>
      </w:r>
      <w:r>
        <w:rPr>
          <w:i/>
          <w:iCs/>
          <w:spacing w:val="-26"/>
          <w:sz w:val="25"/>
          <w:szCs w:val="25"/>
        </w:rPr>
        <w:t xml:space="preserve"> </w:t>
      </w:r>
      <w:r>
        <w:rPr>
          <w:rFonts w:ascii="Times New Roman" w:hAnsi="Times New Roman" w:eastAsia="Times New Roman" w:cs="Times New Roman"/>
          <w:spacing w:val="-2"/>
          <w:position w:val="-6"/>
          <w:sz w:val="14"/>
          <w:szCs w:val="14"/>
        </w:rPr>
        <w:t>0</w:t>
      </w:r>
      <w:r>
        <w:rPr>
          <w:rFonts w:ascii="Times New Roman" w:hAnsi="Times New Roman" w:eastAsia="Times New Roman" w:cs="Times New Roman"/>
          <w:spacing w:val="20"/>
          <w:position w:val="-6"/>
          <w:sz w:val="14"/>
          <w:szCs w:val="14"/>
        </w:rPr>
        <w:t xml:space="preserve"> </w:t>
      </w:r>
      <w:r>
        <w:rPr>
          <w:rFonts w:ascii="宋体" w:hAnsi="宋体" w:eastAsia="宋体" w:cs="宋体"/>
          <w:spacing w:val="-2"/>
          <w:sz w:val="24"/>
          <w:szCs w:val="24"/>
        </w:rPr>
        <w:t>——管道重要性系数，污水管（含合流管）可取</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w:t>
      </w:r>
      <w:r>
        <w:rPr>
          <w:rFonts w:ascii="宋体" w:hAnsi="宋体" w:eastAsia="宋体" w:cs="宋体"/>
          <w:spacing w:val="-2"/>
          <w:sz w:val="24"/>
          <w:szCs w:val="24"/>
        </w:rPr>
        <w:t>；雨水管道可取</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0.9</w:t>
      </w:r>
      <w:r>
        <w:rPr>
          <w:rFonts w:ascii="宋体" w:hAnsi="宋体" w:eastAsia="宋体" w:cs="宋体"/>
          <w:spacing w:val="-2"/>
          <w:sz w:val="24"/>
          <w:szCs w:val="24"/>
        </w:rPr>
        <w:t>；</w:t>
      </w:r>
    </w:p>
    <w:p w14:paraId="08F88943">
      <w:pPr>
        <w:spacing w:line="212" w:lineRule="auto"/>
        <w:rPr>
          <w:rFonts w:ascii="宋体" w:hAnsi="宋体" w:eastAsia="宋体" w:cs="宋体"/>
          <w:sz w:val="24"/>
          <w:szCs w:val="24"/>
        </w:rPr>
        <w:sectPr>
          <w:footerReference r:id="rId57" w:type="default"/>
          <w:pgSz w:w="11907" w:h="16839"/>
          <w:pgMar w:top="400" w:right="1489" w:bottom="743" w:left="1421" w:header="0" w:footer="582" w:gutter="0"/>
          <w:cols w:space="720" w:num="1"/>
        </w:sectPr>
      </w:pPr>
    </w:p>
    <w:p w14:paraId="39901212">
      <w:pPr>
        <w:pStyle w:val="2"/>
        <w:spacing w:line="303" w:lineRule="auto"/>
      </w:pPr>
    </w:p>
    <w:p w14:paraId="6C88526D">
      <w:pPr>
        <w:pStyle w:val="2"/>
        <w:spacing w:line="303" w:lineRule="auto"/>
      </w:pPr>
    </w:p>
    <w:p w14:paraId="01ECC80D">
      <w:pPr>
        <w:pStyle w:val="2"/>
        <w:spacing w:line="303" w:lineRule="auto"/>
      </w:pPr>
    </w:p>
    <w:p w14:paraId="671D0A28">
      <w:pPr>
        <w:spacing w:before="78" w:line="219" w:lineRule="auto"/>
        <w:ind w:left="605"/>
        <w:rPr>
          <w:rFonts w:ascii="宋体" w:hAnsi="宋体" w:eastAsia="宋体" w:cs="宋体"/>
          <w:sz w:val="24"/>
          <w:szCs w:val="24"/>
        </w:rPr>
      </w:pPr>
      <w:r>
        <w:rPr>
          <w:rFonts w:ascii="Times New Roman" w:hAnsi="Times New Roman" w:eastAsia="Times New Roman" w:cs="Times New Roman"/>
          <w:spacing w:val="-1"/>
          <w:sz w:val="24"/>
          <w:szCs w:val="24"/>
        </w:rPr>
        <w:t>f</w:t>
      </w:r>
      <w:r>
        <w:rPr>
          <w:rFonts w:ascii="宋体" w:hAnsi="宋体" w:eastAsia="宋体" w:cs="宋体"/>
          <w:spacing w:val="-1"/>
          <w:sz w:val="24"/>
          <w:szCs w:val="24"/>
        </w:rPr>
        <w:t>——管道环向弯曲抗（拉）压强度设计值（</w:t>
      </w:r>
      <w:r>
        <w:rPr>
          <w:rFonts w:ascii="Times New Roman" w:hAnsi="Times New Roman" w:eastAsia="Times New Roman" w:cs="Times New Roman"/>
          <w:spacing w:val="-1"/>
          <w:sz w:val="24"/>
          <w:szCs w:val="24"/>
        </w:rPr>
        <w:t>MPa</w:t>
      </w:r>
      <w:r>
        <w:rPr>
          <w:rFonts w:ascii="宋体" w:hAnsi="宋体" w:eastAsia="宋体" w:cs="宋体"/>
          <w:spacing w:val="1"/>
          <w:sz w:val="24"/>
          <w:szCs w:val="24"/>
        </w:rPr>
        <w:t>），</w:t>
      </w:r>
      <w:r>
        <w:rPr>
          <w:rFonts w:ascii="宋体" w:hAnsi="宋体" w:eastAsia="宋体" w:cs="宋体"/>
          <w:spacing w:val="-1"/>
          <w:sz w:val="24"/>
          <w:szCs w:val="24"/>
        </w:rPr>
        <w:t>可按本规程表</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3.1.2-1</w:t>
      </w:r>
      <w:r>
        <w:rPr>
          <w:rFonts w:ascii="宋体" w:hAnsi="宋体" w:eastAsia="宋体" w:cs="宋体"/>
          <w:spacing w:val="-1"/>
          <w:sz w:val="24"/>
          <w:szCs w:val="24"/>
        </w:rPr>
        <w:t>、表</w:t>
      </w:r>
    </w:p>
    <w:p w14:paraId="7C5B0585">
      <w:pPr>
        <w:spacing w:before="155" w:line="220" w:lineRule="auto"/>
        <w:ind w:left="6"/>
        <w:rPr>
          <w:rFonts w:ascii="宋体" w:hAnsi="宋体" w:eastAsia="宋体" w:cs="宋体"/>
          <w:sz w:val="24"/>
          <w:szCs w:val="24"/>
        </w:rPr>
      </w:pPr>
      <w:r>
        <w:rPr>
          <w:rFonts w:ascii="Times New Roman" w:hAnsi="Times New Roman" w:eastAsia="Times New Roman" w:cs="Times New Roman"/>
          <w:spacing w:val="-5"/>
          <w:sz w:val="24"/>
          <w:szCs w:val="24"/>
        </w:rPr>
        <w:t>3.1.2-2</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的规定取值。</w:t>
      </w:r>
    </w:p>
    <w:p w14:paraId="1DCAFEC5">
      <w:pPr>
        <w:spacing w:before="153" w:line="279" w:lineRule="auto"/>
        <w:ind w:left="6" w:right="87" w:hanging="6"/>
        <w:rPr>
          <w:rFonts w:ascii="宋体" w:hAnsi="宋体" w:eastAsia="宋体" w:cs="宋体"/>
          <w:sz w:val="24"/>
          <w:szCs w:val="24"/>
        </w:rPr>
      </w:pPr>
      <w:r>
        <w:rPr>
          <w:rFonts w:ascii="Times New Roman" w:hAnsi="Times New Roman" w:eastAsia="Times New Roman" w:cs="Times New Roman"/>
          <w:sz w:val="24"/>
          <w:szCs w:val="24"/>
        </w:rPr>
        <w:t xml:space="preserve">4.5.4    </w:t>
      </w:r>
      <w:r>
        <w:rPr>
          <w:rFonts w:ascii="宋体" w:hAnsi="宋体" w:eastAsia="宋体" w:cs="宋体"/>
          <w:sz w:val="24"/>
          <w:szCs w:val="24"/>
        </w:rPr>
        <w:t>塑料排水管道截面压屈稳定性应依据各项作用的不利组合进行计算</w:t>
      </w:r>
      <w:r>
        <w:rPr>
          <w:rFonts w:ascii="宋体" w:hAnsi="宋体" w:eastAsia="宋体" w:cs="宋体"/>
          <w:spacing w:val="-1"/>
          <w:sz w:val="24"/>
          <w:szCs w:val="24"/>
        </w:rPr>
        <w:t>，各项作用</w:t>
      </w:r>
      <w:r>
        <w:rPr>
          <w:rFonts w:ascii="宋体" w:hAnsi="宋体" w:eastAsia="宋体" w:cs="宋体"/>
          <w:sz w:val="24"/>
          <w:szCs w:val="24"/>
        </w:rPr>
        <w:t xml:space="preserve"> </w:t>
      </w:r>
      <w:r>
        <w:rPr>
          <w:rFonts w:ascii="宋体" w:hAnsi="宋体" w:eastAsia="宋体" w:cs="宋体"/>
          <w:spacing w:val="-1"/>
          <w:sz w:val="24"/>
          <w:szCs w:val="24"/>
        </w:rPr>
        <w:t>均应采用标准值，且环向稳定性抗力系数</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K</w:t>
      </w:r>
      <w:r>
        <w:rPr>
          <w:rFonts w:ascii="Times New Roman" w:hAnsi="Times New Roman" w:eastAsia="Times New Roman" w:cs="Times New Roman"/>
          <w:spacing w:val="-1"/>
          <w:sz w:val="15"/>
          <w:szCs w:val="15"/>
        </w:rPr>
        <w:t>s</w:t>
      </w:r>
      <w:r>
        <w:rPr>
          <w:rFonts w:ascii="Times New Roman" w:hAnsi="Times New Roman" w:eastAsia="Times New Roman" w:cs="Times New Roman"/>
          <w:spacing w:val="17"/>
          <w:w w:val="101"/>
          <w:sz w:val="15"/>
          <w:szCs w:val="15"/>
        </w:rPr>
        <w:t xml:space="preserve"> </w:t>
      </w:r>
      <w:r>
        <w:rPr>
          <w:rFonts w:ascii="宋体" w:hAnsi="宋体" w:eastAsia="宋体" w:cs="宋体"/>
          <w:spacing w:val="-1"/>
          <w:sz w:val="24"/>
          <w:szCs w:val="24"/>
        </w:rPr>
        <w:t>不得低于</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2"/>
          <w:sz w:val="24"/>
          <w:szCs w:val="24"/>
        </w:rPr>
        <w:t>.0</w:t>
      </w:r>
      <w:r>
        <w:rPr>
          <w:rFonts w:ascii="宋体" w:hAnsi="宋体" w:eastAsia="宋体" w:cs="宋体"/>
          <w:spacing w:val="-2"/>
          <w:sz w:val="24"/>
          <w:szCs w:val="24"/>
        </w:rPr>
        <w:t>。</w:t>
      </w:r>
    </w:p>
    <w:p w14:paraId="5CD4BBDB">
      <w:pPr>
        <w:spacing w:before="157" w:line="279" w:lineRule="auto"/>
        <w:ind w:left="6" w:right="327" w:hanging="7"/>
        <w:rPr>
          <w:rFonts w:ascii="宋体" w:hAnsi="宋体" w:eastAsia="宋体" w:cs="宋体"/>
          <w:sz w:val="24"/>
          <w:szCs w:val="24"/>
        </w:rPr>
      </w:pPr>
      <w:r>
        <w:rPr>
          <w:rFonts w:ascii="Times New Roman" w:hAnsi="Times New Roman" w:eastAsia="Times New Roman" w:cs="Times New Roman"/>
          <w:sz w:val="24"/>
          <w:szCs w:val="24"/>
        </w:rPr>
        <w:t xml:space="preserve">4.5.5    </w:t>
      </w:r>
      <w:r>
        <w:rPr>
          <w:rFonts w:ascii="宋体" w:hAnsi="宋体" w:eastAsia="宋体" w:cs="宋体"/>
          <w:sz w:val="24"/>
          <w:szCs w:val="24"/>
        </w:rPr>
        <w:t>在外部压力作用下，塑料排水管道管壁截面的环向稳定性计算应</w:t>
      </w:r>
      <w:r>
        <w:rPr>
          <w:rFonts w:ascii="宋体" w:hAnsi="宋体" w:eastAsia="宋体" w:cs="宋体"/>
          <w:spacing w:val="-1"/>
          <w:sz w:val="24"/>
          <w:szCs w:val="24"/>
        </w:rPr>
        <w:t>符合下式要</w:t>
      </w:r>
      <w:r>
        <w:rPr>
          <w:rFonts w:ascii="宋体" w:hAnsi="宋体" w:eastAsia="宋体" w:cs="宋体"/>
          <w:sz w:val="24"/>
          <w:szCs w:val="24"/>
        </w:rPr>
        <w:t xml:space="preserve"> </w:t>
      </w:r>
      <w:r>
        <w:rPr>
          <w:rFonts w:ascii="宋体" w:hAnsi="宋体" w:eastAsia="宋体" w:cs="宋体"/>
          <w:spacing w:val="-17"/>
          <w:sz w:val="24"/>
          <w:szCs w:val="24"/>
        </w:rPr>
        <w:t>求：</w:t>
      </w:r>
    </w:p>
    <w:p w14:paraId="20B73732">
      <w:pPr>
        <w:spacing w:before="195"/>
        <w:ind w:left="1961"/>
        <w:rPr>
          <w:rFonts w:ascii="宋体" w:hAnsi="宋体" w:eastAsia="宋体" w:cs="宋体"/>
          <w:sz w:val="24"/>
          <w:szCs w:val="24"/>
        </w:rPr>
      </w:pPr>
      <w:r>
        <w:rPr>
          <w:rFonts w:ascii="宋体" w:hAnsi="宋体" w:eastAsia="宋体" w:cs="宋体"/>
          <w:position w:val="-24"/>
          <w:sz w:val="24"/>
          <w:szCs w:val="24"/>
        </w:rPr>
        <w:drawing>
          <wp:inline distT="0" distB="0" distL="0" distR="0">
            <wp:extent cx="283845" cy="37401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6"/>
                    <a:stretch>
                      <a:fillRect/>
                    </a:stretch>
                  </pic:blipFill>
                  <pic:spPr>
                    <a:xfrm>
                      <a:off x="0" y="0"/>
                      <a:ext cx="284376" cy="374129"/>
                    </a:xfrm>
                    <a:prstGeom prst="rect">
                      <a:avLst/>
                    </a:prstGeom>
                  </pic:spPr>
                </pic:pic>
              </a:graphicData>
            </a:graphic>
          </wp:inline>
        </w:drawing>
      </w:r>
      <w:r>
        <w:rPr>
          <w:rFonts w:ascii="宋体" w:hAnsi="宋体" w:eastAsia="宋体" w:cs="宋体"/>
          <w:spacing w:val="-32"/>
          <w:sz w:val="24"/>
          <w:szCs w:val="24"/>
        </w:rPr>
        <w:t xml:space="preserve"> </w:t>
      </w:r>
      <w:r>
        <w:rPr>
          <w:rFonts w:ascii="宋体" w:hAnsi="宋体" w:eastAsia="宋体" w:cs="宋体"/>
          <w:spacing w:val="-16"/>
          <w:sz w:val="24"/>
          <w:szCs w:val="24"/>
        </w:rPr>
        <w:t>≥</w:t>
      </w:r>
      <w:r>
        <w:rPr>
          <w:rFonts w:ascii="Times New Roman" w:hAnsi="Times New Roman" w:eastAsia="Times New Roman" w:cs="Times New Roman"/>
          <w:spacing w:val="-16"/>
          <w:sz w:val="24"/>
          <w:szCs w:val="24"/>
        </w:rPr>
        <w:t>K</w:t>
      </w:r>
      <w:r>
        <w:rPr>
          <w:rFonts w:ascii="Times New Roman" w:hAnsi="Times New Roman" w:eastAsia="Times New Roman" w:cs="Times New Roman"/>
          <w:spacing w:val="1"/>
          <w:sz w:val="15"/>
          <w:szCs w:val="15"/>
        </w:rPr>
        <w:t>s</w:t>
      </w:r>
      <w:r>
        <w:rPr>
          <w:rFonts w:ascii="Times New Roman" w:hAnsi="Times New Roman" w:eastAsia="Times New Roman" w:cs="Times New Roman"/>
          <w:sz w:val="15"/>
          <w:szCs w:val="15"/>
        </w:rPr>
        <w:t xml:space="preserve">                                                                                      </w:t>
      </w:r>
      <w:r>
        <w:rPr>
          <w:rFonts w:ascii="宋体" w:hAnsi="宋体" w:eastAsia="宋体" w:cs="宋体"/>
          <w:sz w:val="24"/>
          <w:szCs w:val="24"/>
        </w:rPr>
        <w:t>（</w:t>
      </w:r>
      <w:r>
        <w:rPr>
          <w:rFonts w:ascii="Times New Roman" w:hAnsi="Times New Roman" w:eastAsia="Times New Roman" w:cs="Times New Roman"/>
          <w:sz w:val="24"/>
          <w:szCs w:val="24"/>
        </w:rPr>
        <w:t>4.5.5</w:t>
      </w:r>
      <w:r>
        <w:rPr>
          <w:rFonts w:ascii="宋体" w:hAnsi="宋体" w:eastAsia="宋体" w:cs="宋体"/>
          <w:sz w:val="24"/>
          <w:szCs w:val="24"/>
        </w:rPr>
        <w:t>）</w:t>
      </w:r>
    </w:p>
    <w:p w14:paraId="244CBF0B">
      <w:pPr>
        <w:spacing w:before="304" w:line="215" w:lineRule="auto"/>
        <w:ind w:left="10"/>
        <w:rPr>
          <w:rFonts w:ascii="宋体" w:hAnsi="宋体" w:eastAsia="宋体" w:cs="宋体"/>
          <w:sz w:val="24"/>
          <w:szCs w:val="24"/>
        </w:rPr>
      </w:pPr>
      <w:r>
        <w:rPr>
          <w:rFonts w:ascii="宋体" w:hAnsi="宋体" w:eastAsia="宋体" w:cs="宋体"/>
          <w:sz w:val="24"/>
          <w:szCs w:val="24"/>
        </w:rPr>
        <w:t>式中：</w:t>
      </w:r>
      <w:r>
        <w:rPr>
          <w:rFonts w:ascii="Times New Roman" w:hAnsi="Times New Roman" w:eastAsia="Times New Roman" w:cs="Times New Roman"/>
          <w:sz w:val="23"/>
          <w:szCs w:val="23"/>
        </w:rPr>
        <w:t>F</w:t>
      </w:r>
      <w:r>
        <w:rPr>
          <w:rFonts w:ascii="Times New Roman" w:hAnsi="Times New Roman" w:eastAsia="Times New Roman" w:cs="Times New Roman"/>
          <w:i/>
          <w:iCs/>
          <w:position w:val="-6"/>
          <w:sz w:val="13"/>
          <w:szCs w:val="13"/>
        </w:rPr>
        <w:t>cr</w:t>
      </w:r>
      <w:r>
        <w:rPr>
          <w:rFonts w:ascii="Times New Roman" w:hAnsi="Times New Roman" w:eastAsia="Times New Roman" w:cs="Times New Roman"/>
          <w:i/>
          <w:iCs/>
          <w:spacing w:val="-12"/>
          <w:position w:val="-6"/>
          <w:sz w:val="13"/>
          <w:szCs w:val="13"/>
        </w:rPr>
        <w:t xml:space="preserve"> </w:t>
      </w:r>
      <w:r>
        <w:rPr>
          <w:rFonts w:ascii="Times New Roman" w:hAnsi="Times New Roman" w:eastAsia="Times New Roman" w:cs="Times New Roman"/>
          <w:position w:val="-6"/>
          <w:sz w:val="13"/>
          <w:szCs w:val="13"/>
        </w:rPr>
        <w:t>,</w:t>
      </w:r>
      <w:r>
        <w:rPr>
          <w:rFonts w:ascii="Times New Roman" w:hAnsi="Times New Roman" w:eastAsia="Times New Roman" w:cs="Times New Roman"/>
          <w:i/>
          <w:iCs/>
          <w:position w:val="-6"/>
          <w:sz w:val="13"/>
          <w:szCs w:val="13"/>
        </w:rPr>
        <w:t>k</w:t>
      </w:r>
      <w:r>
        <w:rPr>
          <w:rFonts w:ascii="Times New Roman" w:hAnsi="Times New Roman" w:eastAsia="Times New Roman" w:cs="Times New Roman"/>
          <w:i/>
          <w:iCs/>
          <w:spacing w:val="21"/>
          <w:w w:val="101"/>
          <w:position w:val="-6"/>
          <w:sz w:val="13"/>
          <w:szCs w:val="13"/>
        </w:rPr>
        <w:t xml:space="preserve"> </w:t>
      </w:r>
      <w:r>
        <w:rPr>
          <w:rFonts w:ascii="宋体" w:hAnsi="宋体" w:eastAsia="宋体" w:cs="宋体"/>
          <w:sz w:val="24"/>
          <w:szCs w:val="24"/>
        </w:rPr>
        <w:t>——管壁失稳临界压力标准值（</w:t>
      </w:r>
      <w:r>
        <w:rPr>
          <w:rFonts w:ascii="Times New Roman" w:hAnsi="Times New Roman" w:eastAsia="Times New Roman" w:cs="Times New Roman"/>
          <w:sz w:val="24"/>
          <w:szCs w:val="24"/>
        </w:rPr>
        <w:t>kN/m</w:t>
      </w:r>
      <w:r>
        <w:rPr>
          <w:rFonts w:ascii="Times New Roman" w:hAnsi="Times New Roman" w:eastAsia="Times New Roman" w:cs="Times New Roman"/>
          <w:position w:val="9"/>
          <w:sz w:val="15"/>
          <w:szCs w:val="15"/>
        </w:rPr>
        <w:t>2</w:t>
      </w:r>
      <w:r>
        <w:rPr>
          <w:rFonts w:ascii="宋体" w:hAnsi="宋体" w:eastAsia="宋体" w:cs="宋体"/>
          <w:spacing w:val="-4"/>
          <w:sz w:val="24"/>
          <w:szCs w:val="24"/>
        </w:rPr>
        <w:t>），</w:t>
      </w:r>
      <w:r>
        <w:rPr>
          <w:rFonts w:ascii="宋体" w:hAnsi="宋体" w:eastAsia="宋体" w:cs="宋体"/>
          <w:sz w:val="24"/>
          <w:szCs w:val="24"/>
        </w:rPr>
        <w:t>应按本规程公式</w:t>
      </w:r>
      <w:r>
        <w:rPr>
          <w:rFonts w:ascii="宋体" w:hAnsi="宋体" w:eastAsia="宋体" w:cs="宋体"/>
          <w:spacing w:val="-1"/>
          <w:sz w:val="24"/>
          <w:szCs w:val="24"/>
        </w:rPr>
        <w:t>（</w:t>
      </w:r>
      <w:r>
        <w:rPr>
          <w:rFonts w:ascii="Times New Roman" w:hAnsi="Times New Roman" w:eastAsia="Times New Roman" w:cs="Times New Roman"/>
          <w:spacing w:val="-1"/>
          <w:sz w:val="24"/>
          <w:szCs w:val="24"/>
        </w:rPr>
        <w:t>4.5.7</w:t>
      </w:r>
      <w:r>
        <w:rPr>
          <w:rFonts w:ascii="宋体" w:hAnsi="宋体" w:eastAsia="宋体" w:cs="宋体"/>
          <w:spacing w:val="-1"/>
          <w:sz w:val="24"/>
          <w:szCs w:val="24"/>
        </w:rPr>
        <w:t>）计算；</w:t>
      </w:r>
    </w:p>
    <w:p w14:paraId="70D82FBC">
      <w:pPr>
        <w:spacing w:before="142" w:line="318" w:lineRule="auto"/>
        <w:ind w:left="11" w:right="685" w:firstLine="625"/>
        <w:rPr>
          <w:rFonts w:ascii="宋体" w:hAnsi="宋体" w:eastAsia="宋体" w:cs="宋体"/>
          <w:sz w:val="24"/>
          <w:szCs w:val="24"/>
        </w:rPr>
      </w:pPr>
      <w:r>
        <w:rPr>
          <w:rFonts w:ascii="Times New Roman" w:hAnsi="Times New Roman" w:eastAsia="Times New Roman" w:cs="Times New Roman"/>
          <w:spacing w:val="-1"/>
          <w:sz w:val="24"/>
          <w:szCs w:val="24"/>
        </w:rPr>
        <w:t>F</w:t>
      </w:r>
      <w:r>
        <w:rPr>
          <w:rFonts w:ascii="Times New Roman" w:hAnsi="Times New Roman" w:eastAsia="Times New Roman" w:cs="Times New Roman"/>
          <w:i/>
          <w:iCs/>
          <w:spacing w:val="-1"/>
          <w:position w:val="-6"/>
          <w:sz w:val="14"/>
          <w:szCs w:val="14"/>
        </w:rPr>
        <w:t>vk</w:t>
      </w:r>
      <w:r>
        <w:rPr>
          <w:rFonts w:ascii="Times New Roman" w:hAnsi="Times New Roman" w:eastAsia="Times New Roman" w:cs="Times New Roman"/>
          <w:i/>
          <w:iCs/>
          <w:spacing w:val="30"/>
          <w:w w:val="102"/>
          <w:position w:val="-6"/>
          <w:sz w:val="14"/>
          <w:szCs w:val="14"/>
        </w:rPr>
        <w:t xml:space="preserve"> </w:t>
      </w:r>
      <w:r>
        <w:rPr>
          <w:rFonts w:ascii="宋体" w:hAnsi="宋体" w:eastAsia="宋体" w:cs="宋体"/>
          <w:spacing w:val="-1"/>
          <w:sz w:val="24"/>
          <w:szCs w:val="24"/>
        </w:rPr>
        <w:t>——管顶在各项作用下的竖向压力标准值（</w:t>
      </w:r>
      <w:r>
        <w:rPr>
          <w:rFonts w:ascii="Times New Roman" w:hAnsi="Times New Roman" w:eastAsia="Times New Roman" w:cs="Times New Roman"/>
          <w:spacing w:val="-1"/>
          <w:sz w:val="24"/>
          <w:szCs w:val="24"/>
        </w:rPr>
        <w:t>kN/m</w:t>
      </w:r>
      <w:r>
        <w:rPr>
          <w:rFonts w:ascii="Times New Roman" w:hAnsi="Times New Roman" w:eastAsia="Times New Roman" w:cs="Times New Roman"/>
          <w:spacing w:val="-1"/>
          <w:position w:val="9"/>
          <w:sz w:val="15"/>
          <w:szCs w:val="15"/>
        </w:rPr>
        <w:t>2</w:t>
      </w:r>
      <w:r>
        <w:rPr>
          <w:rFonts w:ascii="宋体" w:hAnsi="宋体" w:eastAsia="宋体" w:cs="宋体"/>
          <w:spacing w:val="4"/>
          <w:sz w:val="24"/>
          <w:szCs w:val="24"/>
        </w:rPr>
        <w:t>），</w:t>
      </w:r>
      <w:r>
        <w:rPr>
          <w:rFonts w:ascii="宋体" w:hAnsi="宋体" w:eastAsia="宋体" w:cs="宋体"/>
          <w:spacing w:val="-1"/>
          <w:sz w:val="24"/>
          <w:szCs w:val="24"/>
        </w:rPr>
        <w:t>应按本规程公式</w:t>
      </w:r>
      <w:r>
        <w:rPr>
          <w:rFonts w:ascii="宋体" w:hAnsi="宋体" w:eastAsia="宋体" w:cs="宋体"/>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4.5.6</w:t>
      </w:r>
      <w:r>
        <w:rPr>
          <w:rFonts w:ascii="宋体" w:hAnsi="宋体" w:eastAsia="宋体" w:cs="宋体"/>
          <w:spacing w:val="-6"/>
          <w:sz w:val="24"/>
          <w:szCs w:val="24"/>
        </w:rPr>
        <w:t>）计算；</w:t>
      </w:r>
    </w:p>
    <w:p w14:paraId="299658F6">
      <w:pPr>
        <w:spacing w:before="32" w:line="220" w:lineRule="auto"/>
        <w:ind w:left="600"/>
        <w:rPr>
          <w:rFonts w:ascii="宋体" w:hAnsi="宋体" w:eastAsia="宋体" w:cs="宋体"/>
          <w:sz w:val="24"/>
          <w:szCs w:val="24"/>
        </w:rPr>
      </w:pPr>
      <w:r>
        <w:rPr>
          <w:rFonts w:ascii="Times New Roman" w:hAnsi="Times New Roman" w:eastAsia="Times New Roman" w:cs="Times New Roman"/>
          <w:spacing w:val="-2"/>
          <w:sz w:val="24"/>
          <w:szCs w:val="24"/>
        </w:rPr>
        <w:t>K</w:t>
      </w:r>
      <w:r>
        <w:rPr>
          <w:rFonts w:ascii="Times New Roman" w:hAnsi="Times New Roman" w:eastAsia="Times New Roman" w:cs="Times New Roman"/>
          <w:spacing w:val="-2"/>
          <w:sz w:val="15"/>
          <w:szCs w:val="15"/>
        </w:rPr>
        <w:t>s</w:t>
      </w:r>
      <w:r>
        <w:rPr>
          <w:rFonts w:ascii="宋体" w:hAnsi="宋体" w:eastAsia="宋体" w:cs="宋体"/>
          <w:spacing w:val="-2"/>
          <w:sz w:val="24"/>
          <w:szCs w:val="24"/>
        </w:rPr>
        <w:t>——管道的环向稳定性抗力系数。</w:t>
      </w:r>
    </w:p>
    <w:p w14:paraId="3B0740EF">
      <w:pPr>
        <w:spacing w:before="153" w:line="220"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4.5.9    </w:t>
      </w:r>
      <w:r>
        <w:rPr>
          <w:rFonts w:ascii="宋体" w:hAnsi="宋体" w:eastAsia="宋体" w:cs="宋体"/>
          <w:spacing w:val="-2"/>
          <w:sz w:val="24"/>
          <w:szCs w:val="24"/>
        </w:rPr>
        <w:t>塑料排水管道的抗浮稳定性计算应符合下列要求：</w:t>
      </w:r>
    </w:p>
    <w:p w14:paraId="02DDE58B">
      <w:pPr>
        <w:spacing w:before="156" w:line="215" w:lineRule="auto"/>
        <w:ind w:left="2318"/>
        <w:rPr>
          <w:rFonts w:ascii="宋体" w:hAnsi="宋体" w:eastAsia="宋体" w:cs="宋体"/>
          <w:sz w:val="24"/>
          <w:szCs w:val="24"/>
        </w:rPr>
      </w:pPr>
      <w:r>
        <w:rPr>
          <w:rFonts w:ascii="Times New Roman" w:hAnsi="Times New Roman" w:eastAsia="Times New Roman" w:cs="Times New Roman"/>
          <w:spacing w:val="-6"/>
          <w:position w:val="1"/>
          <w:sz w:val="24"/>
          <w:szCs w:val="24"/>
        </w:rPr>
        <w:t>F</w:t>
      </w:r>
      <w:r>
        <w:rPr>
          <w:rFonts w:ascii="Times New Roman" w:hAnsi="Times New Roman" w:eastAsia="Times New Roman" w:cs="Times New Roman"/>
          <w:spacing w:val="-6"/>
          <w:position w:val="-4"/>
          <w:sz w:val="14"/>
          <w:szCs w:val="14"/>
        </w:rPr>
        <w:t>G</w:t>
      </w:r>
      <w:r>
        <w:rPr>
          <w:rFonts w:ascii="Times New Roman" w:hAnsi="Times New Roman" w:eastAsia="Times New Roman" w:cs="Times New Roman"/>
          <w:spacing w:val="-13"/>
          <w:position w:val="-4"/>
          <w:sz w:val="14"/>
          <w:szCs w:val="14"/>
        </w:rPr>
        <w:t xml:space="preserve"> </w:t>
      </w:r>
      <w:r>
        <w:rPr>
          <w:rFonts w:ascii="宋体" w:hAnsi="宋体" w:eastAsia="宋体" w:cs="宋体"/>
          <w:spacing w:val="-6"/>
          <w:position w:val="-4"/>
          <w:sz w:val="14"/>
          <w:szCs w:val="14"/>
        </w:rPr>
        <w:t>，</w:t>
      </w:r>
      <w:r>
        <w:rPr>
          <w:rFonts w:ascii="Times New Roman" w:hAnsi="Times New Roman" w:eastAsia="Times New Roman" w:cs="Times New Roman"/>
          <w:spacing w:val="-6"/>
          <w:position w:val="-4"/>
          <w:sz w:val="14"/>
          <w:szCs w:val="14"/>
        </w:rPr>
        <w:t>k</w:t>
      </w:r>
      <w:r>
        <w:rPr>
          <w:rFonts w:ascii="Times New Roman" w:hAnsi="Times New Roman" w:eastAsia="Times New Roman" w:cs="Times New Roman"/>
          <w:spacing w:val="10"/>
          <w:w w:val="102"/>
          <w:position w:val="-4"/>
          <w:sz w:val="14"/>
          <w:szCs w:val="14"/>
        </w:rPr>
        <w:t xml:space="preserve">  </w:t>
      </w:r>
      <w:r>
        <w:rPr>
          <w:rFonts w:ascii="宋体" w:hAnsi="宋体" w:eastAsia="宋体" w:cs="宋体"/>
          <w:spacing w:val="6"/>
          <w:position w:val="1"/>
          <w:sz w:val="24"/>
          <w:szCs w:val="24"/>
        </w:rPr>
        <w:t>≥</w:t>
      </w:r>
      <w:r>
        <w:rPr>
          <w:rFonts w:ascii="宋体" w:hAnsi="宋体" w:eastAsia="宋体" w:cs="宋体"/>
          <w:spacing w:val="-80"/>
          <w:position w:val="1"/>
          <w:sz w:val="24"/>
          <w:szCs w:val="24"/>
        </w:rPr>
        <w:t xml:space="preserve"> </w:t>
      </w:r>
      <w:r>
        <w:rPr>
          <w:rFonts w:ascii="Times New Roman" w:hAnsi="Times New Roman" w:eastAsia="Times New Roman" w:cs="Times New Roman"/>
          <w:sz w:val="23"/>
          <w:szCs w:val="23"/>
        </w:rPr>
        <w:t>K</w:t>
      </w:r>
      <w:r>
        <w:rPr>
          <w:rFonts w:ascii="Times New Roman" w:hAnsi="Times New Roman" w:eastAsia="Times New Roman" w:cs="Times New Roman"/>
          <w:spacing w:val="-29"/>
          <w:sz w:val="23"/>
          <w:szCs w:val="23"/>
        </w:rPr>
        <w:t xml:space="preserve"> </w:t>
      </w:r>
      <w:r>
        <w:rPr>
          <w:rFonts w:ascii="Times New Roman" w:hAnsi="Times New Roman" w:eastAsia="Times New Roman" w:cs="Times New Roman"/>
          <w:position w:val="-5"/>
          <w:sz w:val="13"/>
          <w:szCs w:val="13"/>
        </w:rPr>
        <w:t>f</w:t>
      </w:r>
      <w:r>
        <w:rPr>
          <w:rFonts w:ascii="Times New Roman" w:hAnsi="Times New Roman" w:eastAsia="Times New Roman" w:cs="Times New Roman"/>
          <w:i/>
          <w:iCs/>
          <w:sz w:val="23"/>
          <w:szCs w:val="23"/>
        </w:rPr>
        <w:t>F</w:t>
      </w:r>
      <w:r>
        <w:rPr>
          <w:rFonts w:ascii="Times New Roman" w:hAnsi="Times New Roman" w:eastAsia="Times New Roman" w:cs="Times New Roman"/>
          <w:i/>
          <w:iCs/>
          <w:position w:val="-5"/>
          <w:sz w:val="13"/>
          <w:szCs w:val="13"/>
        </w:rPr>
        <w:t>fw</w:t>
      </w:r>
      <w:r>
        <w:rPr>
          <w:rFonts w:ascii="Times New Roman" w:hAnsi="Times New Roman" w:eastAsia="Times New Roman" w:cs="Times New Roman"/>
          <w:spacing w:val="6"/>
          <w:position w:val="-5"/>
          <w:sz w:val="13"/>
          <w:szCs w:val="13"/>
        </w:rPr>
        <w:t>,</w:t>
      </w:r>
      <w:r>
        <w:rPr>
          <w:rFonts w:ascii="Times New Roman" w:hAnsi="Times New Roman" w:eastAsia="Times New Roman" w:cs="Times New Roman"/>
          <w:i/>
          <w:iCs/>
          <w:spacing w:val="6"/>
          <w:position w:val="-5"/>
          <w:sz w:val="13"/>
          <w:szCs w:val="13"/>
        </w:rPr>
        <w:t>k</w:t>
      </w:r>
      <w:r>
        <w:rPr>
          <w:rFonts w:ascii="Times New Roman" w:hAnsi="Times New Roman" w:eastAsia="Times New Roman" w:cs="Times New Roman"/>
          <w:i/>
          <w:iCs/>
          <w:position w:val="-5"/>
          <w:sz w:val="13"/>
          <w:szCs w:val="13"/>
        </w:rPr>
        <w:t xml:space="preserve">                                                                                                            </w:t>
      </w:r>
      <w:r>
        <w:rPr>
          <w:rFonts w:ascii="宋体" w:hAnsi="宋体" w:eastAsia="宋体" w:cs="宋体"/>
          <w:spacing w:val="6"/>
          <w:position w:val="1"/>
          <w:sz w:val="24"/>
          <w:szCs w:val="24"/>
        </w:rPr>
        <w:t>（</w:t>
      </w:r>
      <w:r>
        <w:rPr>
          <w:rFonts w:ascii="Times New Roman" w:hAnsi="Times New Roman" w:eastAsia="Times New Roman" w:cs="Times New Roman"/>
          <w:spacing w:val="6"/>
          <w:position w:val="1"/>
          <w:sz w:val="24"/>
          <w:szCs w:val="24"/>
        </w:rPr>
        <w:t>4.5.9-1</w:t>
      </w:r>
      <w:r>
        <w:rPr>
          <w:rFonts w:ascii="宋体" w:hAnsi="宋体" w:eastAsia="宋体" w:cs="宋体"/>
          <w:spacing w:val="6"/>
          <w:position w:val="1"/>
          <w:sz w:val="24"/>
          <w:szCs w:val="24"/>
        </w:rPr>
        <w:t>）</w:t>
      </w:r>
    </w:p>
    <w:p w14:paraId="5F72D985">
      <w:pPr>
        <w:pStyle w:val="2"/>
        <w:spacing w:before="39" w:line="441" w:lineRule="exact"/>
        <w:ind w:left="1116"/>
        <w:rPr>
          <w:rFonts w:ascii="宋体" w:hAnsi="宋体" w:eastAsia="宋体" w:cs="宋体"/>
          <w:sz w:val="24"/>
          <w:szCs w:val="24"/>
        </w:rPr>
      </w:pPr>
      <w:r>
        <w:rPr>
          <w:rFonts w:ascii="Times New Roman" w:hAnsi="Times New Roman" w:eastAsia="Times New Roman" w:cs="Times New Roman"/>
          <w:spacing w:val="-10"/>
          <w:position w:val="9"/>
          <w:sz w:val="24"/>
          <w:szCs w:val="24"/>
        </w:rPr>
        <w:t>F</w:t>
      </w:r>
      <w:r>
        <w:rPr>
          <w:rFonts w:ascii="Times New Roman" w:hAnsi="Times New Roman" w:eastAsia="Times New Roman" w:cs="Times New Roman"/>
          <w:spacing w:val="-10"/>
          <w:position w:val="4"/>
          <w:sz w:val="14"/>
          <w:szCs w:val="14"/>
        </w:rPr>
        <w:t>G</w:t>
      </w:r>
      <w:r>
        <w:rPr>
          <w:rFonts w:ascii="Times New Roman" w:hAnsi="Times New Roman" w:eastAsia="Times New Roman" w:cs="Times New Roman"/>
          <w:spacing w:val="-18"/>
          <w:position w:val="4"/>
          <w:sz w:val="14"/>
          <w:szCs w:val="14"/>
        </w:rPr>
        <w:t xml:space="preserve"> </w:t>
      </w:r>
      <w:r>
        <w:rPr>
          <w:rFonts w:ascii="宋体" w:hAnsi="宋体" w:eastAsia="宋体" w:cs="宋体"/>
          <w:spacing w:val="-10"/>
          <w:position w:val="4"/>
          <w:sz w:val="14"/>
          <w:szCs w:val="14"/>
        </w:rPr>
        <w:t>，</w:t>
      </w:r>
      <w:r>
        <w:rPr>
          <w:rFonts w:ascii="Times New Roman" w:hAnsi="Times New Roman" w:eastAsia="Times New Roman" w:cs="Times New Roman"/>
          <w:spacing w:val="-10"/>
          <w:position w:val="4"/>
          <w:sz w:val="14"/>
          <w:szCs w:val="14"/>
        </w:rPr>
        <w:t>k</w:t>
      </w:r>
      <w:r>
        <w:rPr>
          <w:rFonts w:ascii="Times New Roman" w:hAnsi="Times New Roman" w:eastAsia="Times New Roman" w:cs="Times New Roman"/>
          <w:spacing w:val="17"/>
          <w:w w:val="102"/>
          <w:position w:val="4"/>
          <w:sz w:val="14"/>
          <w:szCs w:val="14"/>
        </w:rPr>
        <w:t xml:space="preserve">  </w:t>
      </w:r>
      <w:r>
        <w:rPr>
          <w:position w:val="9"/>
          <w:sz w:val="24"/>
          <w:szCs w:val="24"/>
        </w:rPr>
        <w:t xml:space="preserve">= </w:t>
      </w:r>
      <w:r>
        <w:rPr>
          <w:position w:val="4"/>
          <w:sz w:val="36"/>
          <w:szCs w:val="36"/>
        </w:rPr>
        <w:t>∑</w:t>
      </w:r>
      <w:r>
        <w:rPr>
          <w:spacing w:val="-66"/>
          <w:position w:val="4"/>
          <w:sz w:val="36"/>
          <w:szCs w:val="36"/>
        </w:rPr>
        <w:t xml:space="preserve"> </w:t>
      </w:r>
      <w:r>
        <w:rPr>
          <w:rFonts w:ascii="Times New Roman" w:hAnsi="Times New Roman" w:eastAsia="Times New Roman" w:cs="Times New Roman"/>
          <w:i/>
          <w:iCs/>
          <w:position w:val="9"/>
          <w:sz w:val="24"/>
          <w:szCs w:val="24"/>
        </w:rPr>
        <w:t>F</w:t>
      </w:r>
      <w:r>
        <w:rPr>
          <w:rFonts w:ascii="Times New Roman" w:hAnsi="Times New Roman" w:eastAsia="Times New Roman" w:cs="Times New Roman"/>
          <w:i/>
          <w:iCs/>
          <w:position w:val="4"/>
          <w:sz w:val="14"/>
          <w:szCs w:val="14"/>
        </w:rPr>
        <w:t>sw</w:t>
      </w:r>
      <w:r>
        <w:rPr>
          <w:rFonts w:ascii="宋体" w:hAnsi="宋体" w:eastAsia="宋体" w:cs="宋体"/>
          <w:position w:val="4"/>
          <w:sz w:val="14"/>
          <w:szCs w:val="14"/>
        </w:rPr>
        <w:t>，</w:t>
      </w:r>
      <w:r>
        <w:rPr>
          <w:rFonts w:ascii="Times New Roman" w:hAnsi="Times New Roman" w:eastAsia="Times New Roman" w:cs="Times New Roman"/>
          <w:i/>
          <w:iCs/>
          <w:position w:val="4"/>
          <w:sz w:val="14"/>
          <w:szCs w:val="14"/>
        </w:rPr>
        <w:t>k</w:t>
      </w:r>
      <w:r>
        <w:rPr>
          <w:rFonts w:ascii="Times New Roman" w:hAnsi="Times New Roman" w:eastAsia="Times New Roman" w:cs="Times New Roman"/>
          <w:i/>
          <w:iCs/>
          <w:spacing w:val="10"/>
          <w:position w:val="4"/>
          <w:sz w:val="14"/>
          <w:szCs w:val="14"/>
        </w:rPr>
        <w:t xml:space="preserve">  </w:t>
      </w:r>
      <w:r>
        <w:rPr>
          <w:position w:val="9"/>
          <w:sz w:val="24"/>
          <w:szCs w:val="24"/>
        </w:rPr>
        <w:t xml:space="preserve">+ </w:t>
      </w:r>
      <w:r>
        <w:rPr>
          <w:position w:val="4"/>
          <w:sz w:val="36"/>
          <w:szCs w:val="36"/>
        </w:rPr>
        <w:t>∑</w:t>
      </w:r>
      <w:r>
        <w:rPr>
          <w:spacing w:val="-66"/>
          <w:position w:val="4"/>
          <w:sz w:val="36"/>
          <w:szCs w:val="36"/>
        </w:rPr>
        <w:t xml:space="preserve"> </w:t>
      </w:r>
      <w:r>
        <w:rPr>
          <w:rFonts w:ascii="Times New Roman" w:hAnsi="Times New Roman" w:eastAsia="Times New Roman" w:cs="Times New Roman"/>
          <w:i/>
          <w:iCs/>
          <w:position w:val="9"/>
          <w:sz w:val="24"/>
          <w:szCs w:val="24"/>
        </w:rPr>
        <w:t>F</w:t>
      </w:r>
      <w:r>
        <w:rPr>
          <w:rFonts w:ascii="Times New Roman" w:hAnsi="Times New Roman" w:eastAsia="Times New Roman" w:cs="Times New Roman"/>
          <w:i/>
          <w:iCs/>
          <w:spacing w:val="-28"/>
          <w:position w:val="9"/>
          <w:sz w:val="24"/>
          <w:szCs w:val="24"/>
        </w:rPr>
        <w:t xml:space="preserve"> </w:t>
      </w:r>
      <w:r>
        <w:rPr>
          <w:rFonts w:ascii="Times New Roman" w:hAnsi="Times New Roman" w:eastAsia="Times New Roman" w:cs="Times New Roman"/>
          <w:position w:val="19"/>
          <w:sz w:val="14"/>
          <w:szCs w:val="14"/>
        </w:rPr>
        <w:t>'</w:t>
      </w:r>
      <w:r>
        <w:rPr>
          <w:rFonts w:ascii="Times New Roman" w:hAnsi="Times New Roman" w:eastAsia="Times New Roman" w:cs="Times New Roman"/>
          <w:spacing w:val="14"/>
          <w:w w:val="101"/>
          <w:position w:val="19"/>
          <w:sz w:val="14"/>
          <w:szCs w:val="14"/>
        </w:rPr>
        <w:t xml:space="preserve"> </w:t>
      </w:r>
      <w:r>
        <w:rPr>
          <w:rFonts w:ascii="Times New Roman" w:hAnsi="Times New Roman" w:eastAsia="Times New Roman" w:cs="Times New Roman"/>
          <w:i/>
          <w:iCs/>
          <w:sz w:val="14"/>
          <w:szCs w:val="14"/>
        </w:rPr>
        <w:t>sw</w:t>
      </w:r>
      <w:r>
        <w:rPr>
          <w:rFonts w:ascii="Times New Roman" w:hAnsi="Times New Roman" w:eastAsia="Times New Roman" w:cs="Times New Roman"/>
          <w:i/>
          <w:iCs/>
          <w:spacing w:val="-18"/>
          <w:sz w:val="14"/>
          <w:szCs w:val="14"/>
        </w:rPr>
        <w:t xml:space="preserve"> </w:t>
      </w:r>
      <w:r>
        <w:rPr>
          <w:rFonts w:ascii="宋体" w:hAnsi="宋体" w:eastAsia="宋体" w:cs="宋体"/>
          <w:sz w:val="14"/>
          <w:szCs w:val="14"/>
        </w:rPr>
        <w:t>，</w:t>
      </w:r>
      <w:r>
        <w:rPr>
          <w:rFonts w:ascii="Times New Roman" w:hAnsi="Times New Roman" w:eastAsia="Times New Roman" w:cs="Times New Roman"/>
          <w:i/>
          <w:iCs/>
          <w:sz w:val="14"/>
          <w:szCs w:val="14"/>
        </w:rPr>
        <w:t>k</w:t>
      </w:r>
      <w:r>
        <w:rPr>
          <w:rFonts w:ascii="Times New Roman" w:hAnsi="Times New Roman" w:eastAsia="Times New Roman" w:cs="Times New Roman"/>
          <w:i/>
          <w:iCs/>
          <w:spacing w:val="10"/>
          <w:sz w:val="14"/>
          <w:szCs w:val="14"/>
        </w:rPr>
        <w:t xml:space="preserve">  </w:t>
      </w:r>
      <w:r>
        <w:rPr>
          <w:position w:val="9"/>
          <w:sz w:val="24"/>
          <w:szCs w:val="24"/>
        </w:rPr>
        <w:t xml:space="preserve">+ </w:t>
      </w:r>
      <w:r>
        <w:rPr>
          <w:rFonts w:ascii="Times New Roman" w:hAnsi="Times New Roman" w:eastAsia="Times New Roman" w:cs="Times New Roman"/>
          <w:i/>
          <w:iCs/>
          <w:position w:val="9"/>
          <w:sz w:val="24"/>
          <w:szCs w:val="24"/>
        </w:rPr>
        <w:t>G</w:t>
      </w:r>
      <w:r>
        <w:rPr>
          <w:rFonts w:ascii="Times New Roman" w:hAnsi="Times New Roman" w:eastAsia="Times New Roman" w:cs="Times New Roman"/>
          <w:i/>
          <w:iCs/>
          <w:position w:val="4"/>
          <w:sz w:val="14"/>
          <w:szCs w:val="14"/>
        </w:rPr>
        <w:t xml:space="preserve">p                     </w:t>
      </w:r>
      <w:r>
        <w:rPr>
          <w:rFonts w:ascii="Times New Roman" w:hAnsi="Times New Roman" w:eastAsia="Times New Roman" w:cs="Times New Roman"/>
          <w:i/>
          <w:iCs/>
          <w:spacing w:val="-1"/>
          <w:position w:val="4"/>
          <w:sz w:val="14"/>
          <w:szCs w:val="14"/>
        </w:rPr>
        <w:t xml:space="preserve">                                                        </w:t>
      </w:r>
      <w:r>
        <w:rPr>
          <w:rFonts w:ascii="宋体" w:hAnsi="宋体" w:eastAsia="宋体" w:cs="宋体"/>
          <w:spacing w:val="-1"/>
          <w:position w:val="9"/>
          <w:sz w:val="24"/>
          <w:szCs w:val="24"/>
        </w:rPr>
        <w:t>（</w:t>
      </w:r>
      <w:r>
        <w:rPr>
          <w:rFonts w:ascii="Times New Roman" w:hAnsi="Times New Roman" w:eastAsia="Times New Roman" w:cs="Times New Roman"/>
          <w:spacing w:val="-1"/>
          <w:position w:val="9"/>
          <w:sz w:val="24"/>
          <w:szCs w:val="24"/>
        </w:rPr>
        <w:t>4.5.9-2</w:t>
      </w:r>
      <w:r>
        <w:rPr>
          <w:rFonts w:ascii="宋体" w:hAnsi="宋体" w:eastAsia="宋体" w:cs="宋体"/>
          <w:spacing w:val="-1"/>
          <w:position w:val="9"/>
          <w:sz w:val="24"/>
          <w:szCs w:val="24"/>
        </w:rPr>
        <w:t>）</w:t>
      </w:r>
    </w:p>
    <w:p w14:paraId="5A67D9B1">
      <w:pPr>
        <w:spacing w:before="99" w:line="220" w:lineRule="auto"/>
        <w:ind w:left="10"/>
        <w:rPr>
          <w:rFonts w:ascii="宋体" w:hAnsi="宋体" w:eastAsia="宋体" w:cs="宋体"/>
          <w:sz w:val="24"/>
          <w:szCs w:val="24"/>
        </w:rPr>
      </w:pPr>
      <w:r>
        <w:rPr>
          <w:rFonts w:ascii="宋体" w:hAnsi="宋体" w:eastAsia="宋体" w:cs="宋体"/>
          <w:spacing w:val="-1"/>
          <w:sz w:val="24"/>
          <w:szCs w:val="24"/>
        </w:rPr>
        <w:t>式中：</w:t>
      </w:r>
      <w:r>
        <w:rPr>
          <w:rFonts w:ascii="Times New Roman" w:hAnsi="Times New Roman" w:eastAsia="Times New Roman" w:cs="Times New Roman"/>
          <w:spacing w:val="-1"/>
          <w:sz w:val="24"/>
          <w:szCs w:val="24"/>
        </w:rPr>
        <w:t>F</w:t>
      </w:r>
      <w:r>
        <w:rPr>
          <w:rFonts w:ascii="Times New Roman" w:hAnsi="Times New Roman" w:eastAsia="Times New Roman" w:cs="Times New Roman"/>
          <w:spacing w:val="-1"/>
          <w:position w:val="-5"/>
          <w:sz w:val="14"/>
          <w:szCs w:val="14"/>
        </w:rPr>
        <w:t>G</w:t>
      </w:r>
      <w:r>
        <w:rPr>
          <w:rFonts w:ascii="Times New Roman" w:hAnsi="Times New Roman" w:eastAsia="Times New Roman" w:cs="Times New Roman"/>
          <w:spacing w:val="-16"/>
          <w:position w:val="-5"/>
          <w:sz w:val="14"/>
          <w:szCs w:val="14"/>
        </w:rPr>
        <w:t xml:space="preserve"> </w:t>
      </w:r>
      <w:r>
        <w:rPr>
          <w:rFonts w:ascii="宋体" w:hAnsi="宋体" w:eastAsia="宋体" w:cs="宋体"/>
          <w:spacing w:val="-1"/>
          <w:position w:val="-5"/>
          <w:sz w:val="14"/>
          <w:szCs w:val="14"/>
        </w:rPr>
        <w:t>，</w:t>
      </w:r>
      <w:r>
        <w:rPr>
          <w:rFonts w:ascii="Times New Roman" w:hAnsi="Times New Roman" w:eastAsia="Times New Roman" w:cs="Times New Roman"/>
          <w:spacing w:val="-1"/>
          <w:position w:val="-5"/>
          <w:sz w:val="14"/>
          <w:szCs w:val="14"/>
        </w:rPr>
        <w:t>k</w:t>
      </w:r>
      <w:r>
        <w:rPr>
          <w:rFonts w:ascii="Times New Roman" w:hAnsi="Times New Roman" w:eastAsia="Times New Roman" w:cs="Times New Roman"/>
          <w:spacing w:val="30"/>
          <w:w w:val="102"/>
          <w:position w:val="-5"/>
          <w:sz w:val="14"/>
          <w:szCs w:val="14"/>
        </w:rPr>
        <w:t xml:space="preserve"> </w:t>
      </w:r>
      <w:r>
        <w:rPr>
          <w:rFonts w:ascii="宋体" w:hAnsi="宋体" w:eastAsia="宋体" w:cs="宋体"/>
          <w:spacing w:val="-1"/>
          <w:sz w:val="24"/>
          <w:szCs w:val="24"/>
        </w:rPr>
        <w:t>——抗浮永久作用标准值（</w:t>
      </w:r>
      <w:r>
        <w:rPr>
          <w:rFonts w:ascii="Times New Roman" w:hAnsi="Times New Roman" w:eastAsia="Times New Roman" w:cs="Times New Roman"/>
          <w:spacing w:val="-1"/>
          <w:sz w:val="24"/>
          <w:szCs w:val="24"/>
        </w:rPr>
        <w:t>kN</w:t>
      </w:r>
      <w:r>
        <w:rPr>
          <w:rFonts w:ascii="宋体" w:hAnsi="宋体" w:eastAsia="宋体" w:cs="宋体"/>
          <w:spacing w:val="-6"/>
          <w:sz w:val="24"/>
          <w:szCs w:val="24"/>
        </w:rPr>
        <w:t>）；</w:t>
      </w:r>
    </w:p>
    <w:p w14:paraId="565418B0">
      <w:pPr>
        <w:pStyle w:val="2"/>
        <w:spacing w:before="45" w:line="430" w:lineRule="exact"/>
        <w:ind w:left="638"/>
        <w:rPr>
          <w:rFonts w:ascii="宋体" w:hAnsi="宋体" w:eastAsia="宋体" w:cs="宋体"/>
          <w:sz w:val="24"/>
          <w:szCs w:val="24"/>
        </w:rPr>
      </w:pPr>
      <w:r>
        <w:rPr>
          <w:position w:val="4"/>
          <w:sz w:val="35"/>
          <w:szCs w:val="35"/>
        </w:rPr>
        <w:t>∑</w:t>
      </w:r>
      <w:r>
        <w:rPr>
          <w:spacing w:val="-60"/>
          <w:position w:val="4"/>
          <w:sz w:val="35"/>
          <w:szCs w:val="35"/>
        </w:rPr>
        <w:t xml:space="preserve"> </w:t>
      </w:r>
      <w:r>
        <w:rPr>
          <w:rFonts w:ascii="Times New Roman" w:hAnsi="Times New Roman" w:eastAsia="Times New Roman" w:cs="Times New Roman"/>
          <w:position w:val="8"/>
          <w:sz w:val="23"/>
          <w:szCs w:val="23"/>
        </w:rPr>
        <w:t>F</w:t>
      </w:r>
      <w:r>
        <w:rPr>
          <w:rFonts w:ascii="Times New Roman" w:hAnsi="Times New Roman" w:eastAsia="Times New Roman" w:cs="Times New Roman"/>
          <w:position w:val="3"/>
          <w:sz w:val="13"/>
          <w:szCs w:val="13"/>
        </w:rPr>
        <w:t>sw,k</w:t>
      </w:r>
      <w:r>
        <w:rPr>
          <w:rFonts w:ascii="Times New Roman" w:hAnsi="Times New Roman" w:eastAsia="Times New Roman" w:cs="Times New Roman"/>
          <w:spacing w:val="9"/>
          <w:w w:val="101"/>
          <w:position w:val="3"/>
          <w:sz w:val="13"/>
          <w:szCs w:val="13"/>
        </w:rPr>
        <w:t xml:space="preserve">  </w:t>
      </w:r>
      <w:r>
        <w:rPr>
          <w:rFonts w:ascii="宋体" w:hAnsi="宋体" w:eastAsia="宋体" w:cs="宋体"/>
          <w:position w:val="8"/>
          <w:sz w:val="24"/>
          <w:szCs w:val="24"/>
        </w:rPr>
        <w:t>——地下水位以上各层土自重标准值之和（</w:t>
      </w:r>
      <w:r>
        <w:rPr>
          <w:rFonts w:ascii="Times New Roman" w:hAnsi="Times New Roman" w:eastAsia="Times New Roman" w:cs="Times New Roman"/>
          <w:spacing w:val="-1"/>
          <w:position w:val="8"/>
          <w:sz w:val="24"/>
          <w:szCs w:val="24"/>
        </w:rPr>
        <w:t>kN</w:t>
      </w:r>
      <w:r>
        <w:rPr>
          <w:rFonts w:ascii="宋体" w:hAnsi="宋体" w:eastAsia="宋体" w:cs="宋体"/>
          <w:spacing w:val="-15"/>
          <w:position w:val="8"/>
          <w:sz w:val="24"/>
          <w:szCs w:val="24"/>
        </w:rPr>
        <w:t>）；</w:t>
      </w:r>
    </w:p>
    <w:p w14:paraId="78E097E5">
      <w:pPr>
        <w:pStyle w:val="2"/>
        <w:spacing w:before="9" w:line="274" w:lineRule="auto"/>
        <w:ind w:left="844" w:right="1350" w:hanging="206"/>
        <w:rPr>
          <w:rFonts w:ascii="宋体" w:hAnsi="宋体" w:eastAsia="宋体" w:cs="宋体"/>
          <w:sz w:val="24"/>
          <w:szCs w:val="24"/>
        </w:rPr>
      </w:pPr>
      <w:r>
        <w:rPr>
          <w:position w:val="-5"/>
          <w:sz w:val="35"/>
          <w:szCs w:val="35"/>
        </w:rPr>
        <w:t>∑</w:t>
      </w:r>
      <w:r>
        <w:rPr>
          <w:spacing w:val="-62"/>
          <w:position w:val="-5"/>
          <w:sz w:val="35"/>
          <w:szCs w:val="35"/>
        </w:rPr>
        <w:t xml:space="preserve"> </w:t>
      </w:r>
      <w:r>
        <w:rPr>
          <w:rFonts w:ascii="Times New Roman" w:hAnsi="Times New Roman" w:eastAsia="Times New Roman" w:cs="Times New Roman"/>
          <w:sz w:val="23"/>
          <w:szCs w:val="23"/>
        </w:rPr>
        <w:t>F</w:t>
      </w:r>
      <w:r>
        <w:rPr>
          <w:rFonts w:ascii="Times New Roman" w:hAnsi="Times New Roman" w:eastAsia="Times New Roman" w:cs="Times New Roman"/>
          <w:i/>
          <w:iCs/>
          <w:position w:val="-5"/>
          <w:sz w:val="13"/>
          <w:szCs w:val="13"/>
        </w:rPr>
        <w:t>s</w:t>
      </w:r>
      <w:r>
        <w:rPr>
          <w:rFonts w:ascii="Times New Roman" w:hAnsi="Times New Roman" w:eastAsia="Times New Roman" w:cs="Times New Roman"/>
          <w:position w:val="10"/>
          <w:sz w:val="13"/>
          <w:szCs w:val="13"/>
        </w:rPr>
        <w:t>'</w:t>
      </w:r>
      <w:r>
        <w:rPr>
          <w:rFonts w:ascii="Times New Roman" w:hAnsi="Times New Roman" w:eastAsia="Times New Roman" w:cs="Times New Roman"/>
          <w:i/>
          <w:iCs/>
          <w:position w:val="-5"/>
          <w:sz w:val="13"/>
          <w:szCs w:val="13"/>
        </w:rPr>
        <w:t>w</w:t>
      </w:r>
      <w:r>
        <w:rPr>
          <w:rFonts w:ascii="Times New Roman" w:hAnsi="Times New Roman" w:eastAsia="Times New Roman" w:cs="Times New Roman"/>
          <w:position w:val="-5"/>
          <w:sz w:val="13"/>
          <w:szCs w:val="13"/>
        </w:rPr>
        <w:t>,</w:t>
      </w:r>
      <w:r>
        <w:rPr>
          <w:rFonts w:ascii="Times New Roman" w:hAnsi="Times New Roman" w:eastAsia="Times New Roman" w:cs="Times New Roman"/>
          <w:i/>
          <w:iCs/>
          <w:position w:val="-5"/>
          <w:sz w:val="13"/>
          <w:szCs w:val="13"/>
        </w:rPr>
        <w:t>k</w:t>
      </w:r>
      <w:r>
        <w:rPr>
          <w:rFonts w:ascii="Times New Roman" w:hAnsi="Times New Roman" w:eastAsia="Times New Roman" w:cs="Times New Roman"/>
          <w:i/>
          <w:iCs/>
          <w:spacing w:val="9"/>
          <w:position w:val="-5"/>
          <w:sz w:val="13"/>
          <w:szCs w:val="13"/>
        </w:rPr>
        <w:t xml:space="preserve">  </w:t>
      </w:r>
      <w:r>
        <w:rPr>
          <w:rFonts w:ascii="宋体" w:hAnsi="宋体" w:eastAsia="宋体" w:cs="宋体"/>
          <w:sz w:val="24"/>
          <w:szCs w:val="24"/>
        </w:rPr>
        <w:t>——地下水位以下至管顶处各竖</w:t>
      </w:r>
      <w:r>
        <w:rPr>
          <w:rFonts w:ascii="宋体" w:hAnsi="宋体" w:eastAsia="宋体" w:cs="宋体"/>
          <w:spacing w:val="-1"/>
          <w:sz w:val="24"/>
          <w:szCs w:val="24"/>
        </w:rPr>
        <w:t>向作用标准值之和（</w:t>
      </w:r>
      <w:r>
        <w:rPr>
          <w:rFonts w:ascii="Times New Roman" w:hAnsi="Times New Roman" w:eastAsia="Times New Roman" w:cs="Times New Roman"/>
          <w:spacing w:val="-1"/>
          <w:sz w:val="24"/>
          <w:szCs w:val="24"/>
        </w:rPr>
        <w:t>kN</w:t>
      </w:r>
      <w:r>
        <w:rPr>
          <w:rFonts w:ascii="宋体" w:hAnsi="宋体" w:eastAsia="宋体" w:cs="宋体"/>
          <w:spacing w:val="-28"/>
          <w:sz w:val="24"/>
          <w:szCs w:val="24"/>
        </w:rPr>
        <w:t>）；</w:t>
      </w:r>
      <w:r>
        <w:rPr>
          <w:rFonts w:ascii="宋体" w:hAnsi="宋体" w:eastAsia="宋体" w:cs="宋体"/>
          <w:sz w:val="24"/>
          <w:szCs w:val="24"/>
        </w:rPr>
        <w:t xml:space="preserve"> </w:t>
      </w:r>
      <w:r>
        <w:rPr>
          <w:rFonts w:ascii="Times New Roman" w:hAnsi="Times New Roman" w:eastAsia="Times New Roman" w:cs="Times New Roman"/>
          <w:spacing w:val="-1"/>
          <w:sz w:val="24"/>
          <w:szCs w:val="24"/>
        </w:rPr>
        <w:t>G</w:t>
      </w:r>
      <w:r>
        <w:rPr>
          <w:rFonts w:ascii="Times New Roman" w:hAnsi="Times New Roman" w:eastAsia="Times New Roman" w:cs="Times New Roman"/>
          <w:spacing w:val="-1"/>
          <w:sz w:val="15"/>
          <w:szCs w:val="15"/>
        </w:rPr>
        <w:t>p</w:t>
      </w:r>
      <w:r>
        <w:rPr>
          <w:rFonts w:ascii="宋体" w:hAnsi="宋体" w:eastAsia="宋体" w:cs="宋体"/>
          <w:spacing w:val="-1"/>
          <w:sz w:val="24"/>
          <w:szCs w:val="24"/>
        </w:rPr>
        <w:t>——管道自重标准值（</w:t>
      </w:r>
      <w:r>
        <w:rPr>
          <w:rFonts w:ascii="Times New Roman" w:hAnsi="Times New Roman" w:eastAsia="Times New Roman" w:cs="Times New Roman"/>
          <w:spacing w:val="-1"/>
          <w:sz w:val="24"/>
          <w:szCs w:val="24"/>
        </w:rPr>
        <w:t>kN</w:t>
      </w:r>
      <w:r>
        <w:rPr>
          <w:rFonts w:ascii="宋体" w:hAnsi="宋体" w:eastAsia="宋体" w:cs="宋体"/>
          <w:spacing w:val="-10"/>
          <w:sz w:val="24"/>
          <w:szCs w:val="24"/>
        </w:rPr>
        <w:t>）；</w:t>
      </w:r>
    </w:p>
    <w:p w14:paraId="243DA70E">
      <w:pPr>
        <w:spacing w:before="154" w:line="307" w:lineRule="auto"/>
        <w:ind w:left="959" w:right="225" w:hanging="84"/>
        <w:rPr>
          <w:rFonts w:ascii="宋体" w:hAnsi="宋体" w:eastAsia="宋体" w:cs="宋体"/>
          <w:sz w:val="24"/>
          <w:szCs w:val="24"/>
        </w:rPr>
      </w:pPr>
      <w:r>
        <w:rPr>
          <w:rFonts w:ascii="Times New Roman" w:hAnsi="Times New Roman" w:eastAsia="Times New Roman" w:cs="Times New Roman"/>
          <w:sz w:val="23"/>
          <w:szCs w:val="23"/>
        </w:rPr>
        <w:t>F</w:t>
      </w:r>
      <w:r>
        <w:rPr>
          <w:rFonts w:ascii="Times New Roman" w:hAnsi="Times New Roman" w:eastAsia="Times New Roman" w:cs="Times New Roman"/>
          <w:i/>
          <w:iCs/>
          <w:position w:val="-6"/>
          <w:sz w:val="13"/>
          <w:szCs w:val="13"/>
        </w:rPr>
        <w:t>fw</w:t>
      </w:r>
      <w:r>
        <w:rPr>
          <w:rFonts w:ascii="Times New Roman" w:hAnsi="Times New Roman" w:eastAsia="Times New Roman" w:cs="Times New Roman"/>
          <w:spacing w:val="1"/>
          <w:position w:val="-6"/>
          <w:sz w:val="13"/>
          <w:szCs w:val="13"/>
        </w:rPr>
        <w:t>,</w:t>
      </w:r>
      <w:r>
        <w:rPr>
          <w:rFonts w:ascii="Times New Roman" w:hAnsi="Times New Roman" w:eastAsia="Times New Roman" w:cs="Times New Roman"/>
          <w:i/>
          <w:iCs/>
          <w:spacing w:val="1"/>
          <w:position w:val="-6"/>
          <w:sz w:val="13"/>
          <w:szCs w:val="13"/>
        </w:rPr>
        <w:t>k</w:t>
      </w:r>
      <w:r>
        <w:rPr>
          <w:rFonts w:ascii="Times New Roman" w:hAnsi="Times New Roman" w:eastAsia="Times New Roman" w:cs="Times New Roman"/>
          <w:i/>
          <w:iCs/>
          <w:spacing w:val="26"/>
          <w:position w:val="-6"/>
          <w:sz w:val="13"/>
          <w:szCs w:val="13"/>
        </w:rPr>
        <w:t xml:space="preserve"> </w:t>
      </w:r>
      <w:r>
        <w:rPr>
          <w:rFonts w:ascii="宋体" w:hAnsi="宋体" w:eastAsia="宋体" w:cs="宋体"/>
          <w:spacing w:val="1"/>
          <w:sz w:val="24"/>
          <w:szCs w:val="24"/>
        </w:rPr>
        <w:t>——浮托力标准值，等于管道实际排水体积与地下水</w:t>
      </w:r>
      <w:r>
        <w:rPr>
          <w:rFonts w:ascii="宋体" w:hAnsi="宋体" w:eastAsia="宋体" w:cs="宋体"/>
          <w:sz w:val="24"/>
          <w:szCs w:val="24"/>
        </w:rPr>
        <w:t>密度之积（</w:t>
      </w:r>
      <w:r>
        <w:rPr>
          <w:rFonts w:ascii="Times New Roman" w:hAnsi="Times New Roman" w:eastAsia="Times New Roman" w:cs="Times New Roman"/>
          <w:sz w:val="24"/>
          <w:szCs w:val="24"/>
        </w:rPr>
        <w:t>kN</w:t>
      </w:r>
      <w:r>
        <w:rPr>
          <w:rFonts w:ascii="宋体" w:hAnsi="宋体" w:eastAsia="宋体" w:cs="宋体"/>
          <w:spacing w:val="-28"/>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K</w:t>
      </w:r>
      <w:r>
        <w:rPr>
          <w:rFonts w:ascii="Times New Roman" w:hAnsi="Times New Roman" w:eastAsia="Times New Roman" w:cs="Times New Roman"/>
          <w:spacing w:val="-2"/>
          <w:sz w:val="15"/>
          <w:szCs w:val="15"/>
        </w:rPr>
        <w:t>f</w:t>
      </w:r>
      <w:r>
        <w:rPr>
          <w:rFonts w:ascii="宋体" w:hAnsi="宋体" w:eastAsia="宋体" w:cs="宋体"/>
          <w:spacing w:val="-2"/>
          <w:sz w:val="24"/>
          <w:szCs w:val="24"/>
        </w:rPr>
        <w:t>——管道的抗浮稳定性抗力系数，取</w:t>
      </w:r>
      <w:r>
        <w:rPr>
          <w:rFonts w:ascii="宋体" w:hAnsi="宋体" w:eastAsia="宋体" w:cs="宋体"/>
          <w:spacing w:val="-16"/>
          <w:sz w:val="24"/>
          <w:szCs w:val="24"/>
        </w:rPr>
        <w:t xml:space="preserve"> </w:t>
      </w:r>
      <w:r>
        <w:rPr>
          <w:rFonts w:ascii="Times New Roman" w:hAnsi="Times New Roman" w:eastAsia="Times New Roman" w:cs="Times New Roman"/>
          <w:spacing w:val="-2"/>
          <w:sz w:val="24"/>
          <w:szCs w:val="24"/>
        </w:rPr>
        <w:t>1.10</w:t>
      </w:r>
      <w:r>
        <w:rPr>
          <w:rFonts w:ascii="宋体" w:hAnsi="宋体" w:eastAsia="宋体" w:cs="宋体"/>
          <w:spacing w:val="-2"/>
          <w:sz w:val="24"/>
          <w:szCs w:val="24"/>
        </w:rPr>
        <w:t>。</w:t>
      </w:r>
    </w:p>
    <w:p w14:paraId="034F2DD5">
      <w:pPr>
        <w:pStyle w:val="2"/>
        <w:spacing w:before="61" w:line="277" w:lineRule="auto"/>
        <w:ind w:left="15" w:right="567" w:hanging="15"/>
        <w:rPr>
          <w:rFonts w:ascii="宋体" w:hAnsi="宋体" w:eastAsia="宋体" w:cs="宋体"/>
          <w:sz w:val="24"/>
          <w:szCs w:val="24"/>
        </w:rPr>
      </w:pPr>
      <w:r>
        <w:rPr>
          <w:rFonts w:ascii="Times New Roman" w:hAnsi="Times New Roman" w:eastAsia="Times New Roman" w:cs="Times New Roman"/>
          <w:sz w:val="24"/>
          <w:szCs w:val="24"/>
        </w:rPr>
        <w:t xml:space="preserve">4.6.3    </w:t>
      </w:r>
      <w:r>
        <w:rPr>
          <w:rFonts w:ascii="宋体" w:hAnsi="宋体" w:eastAsia="宋体" w:cs="宋体"/>
          <w:sz w:val="24"/>
          <w:szCs w:val="24"/>
        </w:rPr>
        <w:t>在外荷载作用下，塑料排水管道竖向直径变形率不应大于管道</w:t>
      </w:r>
      <w:r>
        <w:rPr>
          <w:rFonts w:ascii="宋体" w:hAnsi="宋体" w:eastAsia="宋体" w:cs="宋体"/>
          <w:spacing w:val="-1"/>
          <w:sz w:val="24"/>
          <w:szCs w:val="24"/>
        </w:rPr>
        <w:t>允许变形率</w:t>
      </w:r>
      <w:r>
        <w:rPr>
          <w:rFonts w:ascii="宋体" w:hAnsi="宋体" w:eastAsia="宋体" w:cs="宋体"/>
          <w:sz w:val="24"/>
          <w:szCs w:val="24"/>
        </w:rPr>
        <w:t xml:space="preserve"> </w:t>
      </w:r>
      <w:r>
        <w:rPr>
          <w:rFonts w:ascii="Times New Roman" w:hAnsi="Times New Roman" w:eastAsia="Times New Roman" w:cs="Times New Roman"/>
          <w:spacing w:val="-4"/>
          <w:sz w:val="24"/>
          <w:szCs w:val="24"/>
        </w:rPr>
        <w:t xml:space="preserve">[ </w:t>
      </w:r>
      <w:r>
        <w:rPr>
          <w:i/>
          <w:iCs/>
          <w:spacing w:val="-4"/>
          <w:sz w:val="25"/>
          <w:szCs w:val="25"/>
        </w:rPr>
        <w:t xml:space="preserve">ρ </w:t>
      </w:r>
      <w:r>
        <w:rPr>
          <w:rFonts w:ascii="Times New Roman" w:hAnsi="Times New Roman" w:eastAsia="Times New Roman" w:cs="Times New Roman"/>
          <w:spacing w:val="-4"/>
          <w:sz w:val="24"/>
          <w:szCs w:val="24"/>
        </w:rPr>
        <w:t>]=0.05</w:t>
      </w:r>
      <w:r>
        <w:rPr>
          <w:rFonts w:ascii="宋体" w:hAnsi="宋体" w:eastAsia="宋体" w:cs="宋体"/>
          <w:spacing w:val="-4"/>
          <w:sz w:val="24"/>
          <w:szCs w:val="24"/>
        </w:rPr>
        <w:t>，即应满足下式的要求。</w:t>
      </w:r>
    </w:p>
    <w:p w14:paraId="3BCCCB7D">
      <w:pPr>
        <w:pStyle w:val="2"/>
        <w:spacing w:before="267"/>
        <w:ind w:left="3540"/>
        <w:rPr>
          <w:rFonts w:ascii="宋体" w:hAnsi="宋体" w:eastAsia="宋体" w:cs="宋体"/>
          <w:sz w:val="24"/>
          <w:szCs w:val="24"/>
        </w:rPr>
      </w:pPr>
      <w:r>
        <w:rPr>
          <w:i/>
          <w:iCs/>
          <w:spacing w:val="-2"/>
          <w:sz w:val="25"/>
          <w:szCs w:val="25"/>
        </w:rPr>
        <w:t xml:space="preserve">ρ </w:t>
      </w:r>
      <w:r>
        <w:rPr>
          <w:spacing w:val="-2"/>
          <w:sz w:val="24"/>
          <w:szCs w:val="24"/>
        </w:rPr>
        <w:t xml:space="preserve">= </w:t>
      </w:r>
      <w:r>
        <w:rPr>
          <w:position w:val="-24"/>
          <w:sz w:val="24"/>
          <w:szCs w:val="24"/>
        </w:rPr>
        <w:drawing>
          <wp:inline distT="0" distB="0" distL="0" distR="0">
            <wp:extent cx="204470" cy="32893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87"/>
                    <a:stretch>
                      <a:fillRect/>
                    </a:stretch>
                  </pic:blipFill>
                  <pic:spPr>
                    <a:xfrm>
                      <a:off x="0" y="0"/>
                      <a:ext cx="205088" cy="329466"/>
                    </a:xfrm>
                    <a:prstGeom prst="rect">
                      <a:avLst/>
                    </a:prstGeom>
                  </pic:spPr>
                </pic:pic>
              </a:graphicData>
            </a:graphic>
          </wp:inline>
        </w:drawing>
      </w:r>
      <w:r>
        <w:rPr>
          <w:spacing w:val="7"/>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 </w:t>
      </w:r>
      <w:r>
        <w:rPr>
          <w:i/>
          <w:iCs/>
          <w:spacing w:val="-2"/>
          <w:sz w:val="25"/>
          <w:szCs w:val="25"/>
        </w:rPr>
        <w:t xml:space="preserve">ρ </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4.6.3</w:t>
      </w:r>
      <w:r>
        <w:rPr>
          <w:rFonts w:ascii="宋体" w:hAnsi="宋体" w:eastAsia="宋体" w:cs="宋体"/>
          <w:spacing w:val="-3"/>
          <w:sz w:val="24"/>
          <w:szCs w:val="24"/>
        </w:rPr>
        <w:t>）</w:t>
      </w:r>
    </w:p>
    <w:p w14:paraId="1FC9A8A6">
      <w:pPr>
        <w:pStyle w:val="2"/>
        <w:spacing w:before="312" w:line="214" w:lineRule="auto"/>
        <w:ind w:left="10"/>
        <w:rPr>
          <w:rFonts w:ascii="宋体" w:hAnsi="宋体" w:eastAsia="宋体" w:cs="宋体"/>
          <w:sz w:val="24"/>
          <w:szCs w:val="24"/>
        </w:rPr>
      </w:pPr>
      <w:r>
        <w:rPr>
          <w:rFonts w:ascii="宋体" w:hAnsi="宋体" w:eastAsia="宋体" w:cs="宋体"/>
          <w:spacing w:val="-6"/>
          <w:sz w:val="24"/>
          <w:szCs w:val="24"/>
        </w:rPr>
        <w:t>式中：</w:t>
      </w:r>
      <w:r>
        <w:rPr>
          <w:rFonts w:ascii="宋体" w:hAnsi="宋体" w:eastAsia="宋体" w:cs="宋体"/>
          <w:spacing w:val="-41"/>
          <w:sz w:val="24"/>
          <w:szCs w:val="24"/>
        </w:rPr>
        <w:t xml:space="preserve"> </w:t>
      </w:r>
      <w:r>
        <w:rPr>
          <w:i/>
          <w:iCs/>
          <w:spacing w:val="-6"/>
          <w:sz w:val="25"/>
          <w:szCs w:val="25"/>
        </w:rPr>
        <w:t xml:space="preserve">ρ </w:t>
      </w:r>
      <w:r>
        <w:rPr>
          <w:rFonts w:ascii="宋体" w:hAnsi="宋体" w:eastAsia="宋体" w:cs="宋体"/>
          <w:spacing w:val="-6"/>
          <w:sz w:val="24"/>
          <w:szCs w:val="24"/>
        </w:rPr>
        <w:t>——管道竖向直径变形率；</w:t>
      </w:r>
    </w:p>
    <w:p w14:paraId="6F86F0C7">
      <w:pPr>
        <w:pStyle w:val="2"/>
        <w:spacing w:before="161" w:line="214" w:lineRule="auto"/>
        <w:ind w:left="615"/>
        <w:rPr>
          <w:rFonts w:ascii="宋体" w:hAnsi="宋体" w:eastAsia="宋体" w:cs="宋体"/>
          <w:sz w:val="24"/>
          <w:szCs w:val="24"/>
        </w:rPr>
      </w:pPr>
      <w:r>
        <w:rPr>
          <w:rFonts w:ascii="Times New Roman" w:hAnsi="Times New Roman" w:eastAsia="Times New Roman" w:cs="Times New Roman"/>
          <w:spacing w:val="-5"/>
          <w:sz w:val="24"/>
          <w:szCs w:val="24"/>
        </w:rPr>
        <w:t xml:space="preserve">[ </w:t>
      </w:r>
      <w:r>
        <w:rPr>
          <w:i/>
          <w:iCs/>
          <w:spacing w:val="-5"/>
          <w:sz w:val="25"/>
          <w:szCs w:val="25"/>
        </w:rPr>
        <w:t xml:space="preserve">ρ </w:t>
      </w:r>
      <w:r>
        <w:rPr>
          <w:rFonts w:ascii="Times New Roman" w:hAnsi="Times New Roman" w:eastAsia="Times New Roman" w:cs="Times New Roman"/>
          <w:spacing w:val="-5"/>
          <w:sz w:val="24"/>
          <w:szCs w:val="24"/>
        </w:rPr>
        <w:t>]</w:t>
      </w:r>
      <w:r>
        <w:rPr>
          <w:rFonts w:ascii="宋体" w:hAnsi="宋体" w:eastAsia="宋体" w:cs="宋体"/>
          <w:spacing w:val="-5"/>
          <w:sz w:val="24"/>
          <w:szCs w:val="24"/>
        </w:rPr>
        <w:t>——管道允许竖向直径变形率；</w:t>
      </w:r>
    </w:p>
    <w:p w14:paraId="5AE622C7">
      <w:pPr>
        <w:spacing w:before="161" w:line="319" w:lineRule="auto"/>
        <w:ind w:left="5" w:firstLine="636"/>
        <w:rPr>
          <w:rFonts w:ascii="宋体" w:hAnsi="宋体" w:eastAsia="宋体" w:cs="宋体"/>
          <w:sz w:val="24"/>
          <w:szCs w:val="24"/>
        </w:rPr>
      </w:pPr>
      <w:r>
        <w:rPr>
          <w:rFonts w:ascii="Times New Roman" w:hAnsi="Times New Roman" w:eastAsia="Times New Roman" w:cs="Times New Roman"/>
          <w:i/>
          <w:iCs/>
          <w:sz w:val="23"/>
          <w:szCs w:val="23"/>
        </w:rPr>
        <w:t>w</w:t>
      </w:r>
      <w:r>
        <w:rPr>
          <w:rFonts w:ascii="Times New Roman" w:hAnsi="Times New Roman" w:eastAsia="Times New Roman" w:cs="Times New Roman"/>
          <w:i/>
          <w:iCs/>
          <w:position w:val="-6"/>
          <w:sz w:val="14"/>
          <w:szCs w:val="14"/>
        </w:rPr>
        <w:t>d</w:t>
      </w:r>
      <w:r>
        <w:rPr>
          <w:rFonts w:ascii="Times New Roman" w:hAnsi="Times New Roman" w:eastAsia="Times New Roman" w:cs="Times New Roman"/>
          <w:i/>
          <w:iCs/>
          <w:spacing w:val="18"/>
          <w:w w:val="102"/>
          <w:position w:val="-6"/>
          <w:sz w:val="14"/>
          <w:szCs w:val="14"/>
        </w:rPr>
        <w:t xml:space="preserve"> </w:t>
      </w:r>
      <w:r>
        <w:rPr>
          <w:rFonts w:ascii="宋体" w:hAnsi="宋体" w:eastAsia="宋体" w:cs="宋体"/>
          <w:sz w:val="24"/>
          <w:szCs w:val="24"/>
        </w:rPr>
        <w:t>——管道在外压作用下的长期竖向挠曲值（</w:t>
      </w:r>
      <w:r>
        <w:rPr>
          <w:rFonts w:ascii="Times New Roman" w:hAnsi="Times New Roman" w:eastAsia="Times New Roman" w:cs="Times New Roman"/>
          <w:sz w:val="24"/>
          <w:szCs w:val="24"/>
        </w:rPr>
        <w:t>mm</w:t>
      </w:r>
      <w:r>
        <w:rPr>
          <w:rFonts w:ascii="宋体" w:hAnsi="宋体" w:eastAsia="宋体" w:cs="宋体"/>
          <w:spacing w:val="-4"/>
          <w:sz w:val="24"/>
          <w:szCs w:val="24"/>
        </w:rPr>
        <w:t>），</w:t>
      </w:r>
      <w:r>
        <w:rPr>
          <w:rFonts w:ascii="宋体" w:hAnsi="宋体" w:eastAsia="宋体" w:cs="宋体"/>
          <w:sz w:val="24"/>
          <w:szCs w:val="24"/>
        </w:rPr>
        <w:t>可按本规程公式（</w:t>
      </w:r>
      <w:r>
        <w:rPr>
          <w:rFonts w:ascii="Times New Roman" w:hAnsi="Times New Roman" w:eastAsia="Times New Roman" w:cs="Times New Roman"/>
          <w:sz w:val="24"/>
          <w:szCs w:val="24"/>
        </w:rPr>
        <w:t>4.6.</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宋体" w:hAnsi="宋体" w:eastAsia="宋体" w:cs="宋体"/>
          <w:sz w:val="24"/>
          <w:szCs w:val="24"/>
        </w:rPr>
        <w:t xml:space="preserve"> </w:t>
      </w:r>
      <w:r>
        <w:rPr>
          <w:rFonts w:ascii="宋体" w:hAnsi="宋体" w:eastAsia="宋体" w:cs="宋体"/>
          <w:spacing w:val="-15"/>
          <w:sz w:val="24"/>
          <w:szCs w:val="24"/>
        </w:rPr>
        <w:t>计算；</w:t>
      </w:r>
    </w:p>
    <w:p w14:paraId="1763FECD">
      <w:pPr>
        <w:spacing w:before="31" w:line="220" w:lineRule="auto"/>
        <w:ind w:left="637"/>
        <w:rPr>
          <w:rFonts w:ascii="宋体" w:hAnsi="宋体" w:eastAsia="宋体" w:cs="宋体"/>
          <w:sz w:val="24"/>
          <w:szCs w:val="24"/>
        </w:rPr>
      </w:pPr>
      <w:r>
        <w:rPr>
          <w:rFonts w:ascii="Times New Roman" w:hAnsi="Times New Roman" w:eastAsia="Times New Roman" w:cs="Times New Roman"/>
          <w:sz w:val="23"/>
          <w:szCs w:val="23"/>
        </w:rPr>
        <w:t>D</w:t>
      </w:r>
      <w:r>
        <w:rPr>
          <w:rFonts w:ascii="Times New Roman" w:hAnsi="Times New Roman" w:eastAsia="Times New Roman" w:cs="Times New Roman"/>
          <w:position w:val="-5"/>
          <w:sz w:val="14"/>
          <w:szCs w:val="14"/>
        </w:rPr>
        <w:t>0</w:t>
      </w:r>
      <w:r>
        <w:rPr>
          <w:rFonts w:ascii="Times New Roman" w:hAnsi="Times New Roman" w:eastAsia="Times New Roman" w:cs="Times New Roman"/>
          <w:spacing w:val="15"/>
          <w:position w:val="-5"/>
          <w:sz w:val="14"/>
          <w:szCs w:val="14"/>
        </w:rPr>
        <w:t xml:space="preserve"> </w:t>
      </w:r>
      <w:r>
        <w:rPr>
          <w:rFonts w:ascii="宋体" w:hAnsi="宋体" w:eastAsia="宋体" w:cs="宋体"/>
          <w:sz w:val="24"/>
          <w:szCs w:val="24"/>
        </w:rPr>
        <w:t>——管道计算直径（</w:t>
      </w:r>
      <w:r>
        <w:rPr>
          <w:rFonts w:ascii="Times New Roman" w:hAnsi="Times New Roman" w:eastAsia="Times New Roman" w:cs="Times New Roman"/>
          <w:sz w:val="24"/>
          <w:szCs w:val="24"/>
        </w:rPr>
        <w:t>mm</w:t>
      </w:r>
      <w:r>
        <w:rPr>
          <w:rFonts w:ascii="宋体" w:hAnsi="宋体" w:eastAsia="宋体" w:cs="宋体"/>
          <w:sz w:val="24"/>
          <w:szCs w:val="24"/>
        </w:rPr>
        <w:t>）。</w:t>
      </w:r>
    </w:p>
    <w:p w14:paraId="09E5B535">
      <w:pPr>
        <w:spacing w:before="143" w:line="341" w:lineRule="auto"/>
        <w:ind w:left="6" w:right="87" w:firstLine="1"/>
        <w:rPr>
          <w:rFonts w:ascii="宋体" w:hAnsi="宋体" w:eastAsia="宋体" w:cs="宋体"/>
          <w:sz w:val="24"/>
          <w:szCs w:val="24"/>
        </w:rPr>
      </w:pPr>
      <w:r>
        <w:rPr>
          <w:rFonts w:ascii="Times New Roman" w:hAnsi="Times New Roman" w:eastAsia="Times New Roman" w:cs="Times New Roman"/>
          <w:sz w:val="24"/>
          <w:szCs w:val="24"/>
        </w:rPr>
        <w:t xml:space="preserve">5.3.6    </w:t>
      </w:r>
      <w:r>
        <w:rPr>
          <w:rFonts w:ascii="宋体" w:hAnsi="宋体" w:eastAsia="宋体" w:cs="宋体"/>
          <w:sz w:val="24"/>
          <w:szCs w:val="24"/>
        </w:rPr>
        <w:t>塑料排水管道地基基础应符合设计要求，当管道</w:t>
      </w:r>
      <w:r>
        <w:rPr>
          <w:rFonts w:ascii="宋体" w:hAnsi="宋体" w:eastAsia="宋体" w:cs="宋体"/>
          <w:spacing w:val="-1"/>
          <w:sz w:val="24"/>
          <w:szCs w:val="24"/>
        </w:rPr>
        <w:t>天然地基的强度不能满足设计</w:t>
      </w:r>
      <w:r>
        <w:rPr>
          <w:rFonts w:ascii="宋体" w:hAnsi="宋体" w:eastAsia="宋体" w:cs="宋体"/>
          <w:sz w:val="24"/>
          <w:szCs w:val="24"/>
        </w:rPr>
        <w:t xml:space="preserve"> </w:t>
      </w:r>
      <w:r>
        <w:rPr>
          <w:rFonts w:ascii="宋体" w:hAnsi="宋体" w:eastAsia="宋体" w:cs="宋体"/>
          <w:spacing w:val="-4"/>
          <w:sz w:val="24"/>
          <w:szCs w:val="24"/>
        </w:rPr>
        <w:t>要求时，应按设计要求加固。</w:t>
      </w:r>
    </w:p>
    <w:p w14:paraId="345F6E2F">
      <w:pPr>
        <w:spacing w:line="341" w:lineRule="auto"/>
        <w:rPr>
          <w:rFonts w:ascii="宋体" w:hAnsi="宋体" w:eastAsia="宋体" w:cs="宋体"/>
          <w:sz w:val="24"/>
          <w:szCs w:val="24"/>
        </w:rPr>
        <w:sectPr>
          <w:footerReference r:id="rId58" w:type="default"/>
          <w:pgSz w:w="11907" w:h="16839"/>
          <w:pgMar w:top="400" w:right="1521" w:bottom="743" w:left="1421" w:header="0" w:footer="582" w:gutter="0"/>
          <w:cols w:space="720" w:num="1"/>
        </w:sectPr>
      </w:pPr>
    </w:p>
    <w:p w14:paraId="1C15C00C">
      <w:pPr>
        <w:pStyle w:val="2"/>
        <w:spacing w:line="303" w:lineRule="auto"/>
      </w:pPr>
    </w:p>
    <w:p w14:paraId="708ACE6E">
      <w:pPr>
        <w:pStyle w:val="2"/>
        <w:spacing w:line="303" w:lineRule="auto"/>
      </w:pPr>
    </w:p>
    <w:p w14:paraId="141F7B2C">
      <w:pPr>
        <w:pStyle w:val="2"/>
        <w:spacing w:line="303" w:lineRule="auto"/>
      </w:pPr>
    </w:p>
    <w:p w14:paraId="20D61E1D">
      <w:pPr>
        <w:spacing w:before="78" w:line="220" w:lineRule="auto"/>
        <w:ind w:left="7"/>
        <w:rPr>
          <w:rFonts w:ascii="宋体" w:hAnsi="宋体" w:eastAsia="宋体" w:cs="宋体"/>
          <w:sz w:val="24"/>
          <w:szCs w:val="24"/>
        </w:rPr>
      </w:pPr>
      <w:r>
        <w:rPr>
          <w:rFonts w:ascii="Times New Roman" w:hAnsi="Times New Roman" w:eastAsia="Times New Roman" w:cs="Times New Roman"/>
          <w:spacing w:val="-3"/>
          <w:sz w:val="24"/>
          <w:szCs w:val="24"/>
        </w:rPr>
        <w:t xml:space="preserve">5.5.11    </w:t>
      </w:r>
      <w:r>
        <w:rPr>
          <w:rFonts w:ascii="宋体" w:hAnsi="宋体" w:eastAsia="宋体" w:cs="宋体"/>
          <w:spacing w:val="-3"/>
          <w:sz w:val="24"/>
          <w:szCs w:val="24"/>
        </w:rPr>
        <w:t>塑料排水管道管区回填施工应符合下列规定：</w:t>
      </w:r>
    </w:p>
    <w:p w14:paraId="370A5CA5">
      <w:pPr>
        <w:spacing w:before="155" w:line="278" w:lineRule="auto"/>
        <w:ind w:left="6" w:firstLine="497"/>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管底基础至管顶以上</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0.5m</w:t>
      </w:r>
      <w:r>
        <w:rPr>
          <w:rFonts w:ascii="Times New Roman" w:hAnsi="Times New Roman" w:eastAsia="Times New Roman" w:cs="Times New Roman"/>
          <w:spacing w:val="16"/>
          <w:sz w:val="24"/>
          <w:szCs w:val="24"/>
        </w:rPr>
        <w:t xml:space="preserve"> </w:t>
      </w:r>
      <w:r>
        <w:rPr>
          <w:rFonts w:ascii="宋体" w:hAnsi="宋体" w:eastAsia="宋体" w:cs="宋体"/>
          <w:spacing w:val="-1"/>
          <w:sz w:val="24"/>
          <w:szCs w:val="24"/>
        </w:rPr>
        <w:t>范围内，必须采用人</w:t>
      </w:r>
      <w:r>
        <w:rPr>
          <w:rFonts w:ascii="宋体" w:hAnsi="宋体" w:eastAsia="宋体" w:cs="宋体"/>
          <w:spacing w:val="-2"/>
          <w:sz w:val="24"/>
          <w:szCs w:val="24"/>
        </w:rPr>
        <w:t>工回填，轻型压实设备夯实，不</w:t>
      </w:r>
      <w:r>
        <w:rPr>
          <w:rFonts w:ascii="宋体" w:hAnsi="宋体" w:eastAsia="宋体" w:cs="宋体"/>
          <w:sz w:val="24"/>
          <w:szCs w:val="24"/>
        </w:rPr>
        <w:t xml:space="preserve"> </w:t>
      </w:r>
      <w:r>
        <w:rPr>
          <w:rFonts w:ascii="宋体" w:hAnsi="宋体" w:eastAsia="宋体" w:cs="宋体"/>
          <w:spacing w:val="-5"/>
          <w:sz w:val="24"/>
          <w:szCs w:val="24"/>
        </w:rPr>
        <w:t>得采用机械推土回填。</w:t>
      </w:r>
    </w:p>
    <w:p w14:paraId="61C16450">
      <w:pPr>
        <w:spacing w:before="154" w:line="280" w:lineRule="auto"/>
        <w:ind w:left="7" w:right="320" w:firstLine="47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回填、夯实应分层对称进行，每层回填土高度不应大于</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200mm</w:t>
      </w:r>
      <w:r>
        <w:rPr>
          <w:rFonts w:ascii="宋体" w:hAnsi="宋体" w:eastAsia="宋体" w:cs="宋体"/>
          <w:spacing w:val="-2"/>
          <w:sz w:val="24"/>
          <w:szCs w:val="24"/>
        </w:rPr>
        <w:t>，不得单侧回</w:t>
      </w:r>
      <w:r>
        <w:rPr>
          <w:rFonts w:ascii="宋体" w:hAnsi="宋体" w:eastAsia="宋体" w:cs="宋体"/>
          <w:sz w:val="24"/>
          <w:szCs w:val="24"/>
        </w:rPr>
        <w:t xml:space="preserve"> </w:t>
      </w:r>
      <w:r>
        <w:rPr>
          <w:rFonts w:ascii="宋体" w:hAnsi="宋体" w:eastAsia="宋体" w:cs="宋体"/>
          <w:spacing w:val="-8"/>
          <w:sz w:val="24"/>
          <w:szCs w:val="24"/>
        </w:rPr>
        <w:t>填、夯实。</w:t>
      </w:r>
    </w:p>
    <w:p w14:paraId="78B57B39">
      <w:pPr>
        <w:spacing w:before="153" w:line="280" w:lineRule="auto"/>
        <w:ind w:left="5" w:right="34" w:firstLine="480"/>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管顶</w:t>
      </w:r>
      <w:r>
        <w:rPr>
          <w:rFonts w:ascii="宋体" w:hAnsi="宋体" w:eastAsia="宋体" w:cs="宋体"/>
          <w:spacing w:val="-52"/>
          <w:sz w:val="24"/>
          <w:szCs w:val="24"/>
        </w:rPr>
        <w:t xml:space="preserve"> </w:t>
      </w:r>
      <w:r>
        <w:rPr>
          <w:rFonts w:ascii="Times New Roman" w:hAnsi="Times New Roman" w:eastAsia="Times New Roman" w:cs="Times New Roman"/>
          <w:spacing w:val="-2"/>
          <w:sz w:val="24"/>
          <w:szCs w:val="24"/>
        </w:rPr>
        <w:t>0.5m</w:t>
      </w:r>
      <w:r>
        <w:rPr>
          <w:rFonts w:ascii="Times New Roman" w:hAnsi="Times New Roman" w:eastAsia="Times New Roman" w:cs="Times New Roman"/>
          <w:spacing w:val="37"/>
          <w:w w:val="101"/>
          <w:sz w:val="24"/>
          <w:szCs w:val="24"/>
        </w:rPr>
        <w:t xml:space="preserve"> </w:t>
      </w:r>
      <w:r>
        <w:rPr>
          <w:rFonts w:ascii="宋体" w:hAnsi="宋体" w:eastAsia="宋体" w:cs="宋体"/>
          <w:spacing w:val="-2"/>
          <w:sz w:val="24"/>
          <w:szCs w:val="24"/>
        </w:rPr>
        <w:t>以上采用机械回填压实时，应从管轴线</w:t>
      </w:r>
      <w:r>
        <w:rPr>
          <w:rFonts w:ascii="宋体" w:hAnsi="宋体" w:eastAsia="宋体" w:cs="宋体"/>
          <w:spacing w:val="-3"/>
          <w:sz w:val="24"/>
          <w:szCs w:val="24"/>
        </w:rPr>
        <w:t>两侧同时均匀进行，并夯实、</w:t>
      </w:r>
      <w:r>
        <w:rPr>
          <w:rFonts w:ascii="宋体" w:hAnsi="宋体" w:eastAsia="宋体" w:cs="宋体"/>
          <w:sz w:val="24"/>
          <w:szCs w:val="24"/>
        </w:rPr>
        <w:t xml:space="preserve"> </w:t>
      </w:r>
      <w:r>
        <w:rPr>
          <w:rFonts w:ascii="宋体" w:hAnsi="宋体" w:eastAsia="宋体" w:cs="宋体"/>
          <w:spacing w:val="-10"/>
          <w:sz w:val="24"/>
          <w:szCs w:val="24"/>
        </w:rPr>
        <w:t>碾压。</w:t>
      </w:r>
    </w:p>
    <w:p w14:paraId="0A33871A">
      <w:pPr>
        <w:spacing w:before="151" w:line="279" w:lineRule="auto"/>
        <w:ind w:left="28" w:right="127" w:hanging="22"/>
        <w:rPr>
          <w:rFonts w:ascii="宋体" w:hAnsi="宋体" w:eastAsia="宋体" w:cs="宋体"/>
          <w:sz w:val="24"/>
          <w:szCs w:val="24"/>
        </w:rPr>
      </w:pPr>
      <w:r>
        <w:rPr>
          <w:rFonts w:ascii="Times New Roman" w:hAnsi="Times New Roman" w:eastAsia="Times New Roman" w:cs="Times New Roman"/>
          <w:sz w:val="24"/>
          <w:szCs w:val="24"/>
        </w:rPr>
        <w:t xml:space="preserve">6.1.1    </w:t>
      </w:r>
      <w:r>
        <w:rPr>
          <w:rFonts w:ascii="宋体" w:hAnsi="宋体" w:eastAsia="宋体" w:cs="宋体"/>
          <w:sz w:val="24"/>
          <w:szCs w:val="24"/>
        </w:rPr>
        <w:t>污水、雨污水合流管道及湿陷土、膨胀土、流沙地</w:t>
      </w:r>
      <w:r>
        <w:rPr>
          <w:rFonts w:ascii="宋体" w:hAnsi="宋体" w:eastAsia="宋体" w:cs="宋体"/>
          <w:spacing w:val="-1"/>
          <w:sz w:val="24"/>
          <w:szCs w:val="24"/>
        </w:rPr>
        <w:t>区的雨水管道，必须进行密</w:t>
      </w:r>
      <w:r>
        <w:rPr>
          <w:rFonts w:ascii="宋体" w:hAnsi="宋体" w:eastAsia="宋体" w:cs="宋体"/>
          <w:sz w:val="24"/>
          <w:szCs w:val="24"/>
        </w:rPr>
        <w:t xml:space="preserve"> </w:t>
      </w:r>
      <w:r>
        <w:rPr>
          <w:rFonts w:ascii="宋体" w:hAnsi="宋体" w:eastAsia="宋体" w:cs="宋体"/>
          <w:spacing w:val="-4"/>
          <w:sz w:val="24"/>
          <w:szCs w:val="24"/>
        </w:rPr>
        <w:t>闭性检验，检验合格后，方可投入运行。</w:t>
      </w:r>
    </w:p>
    <w:p w14:paraId="7E1DD8AE">
      <w:pPr>
        <w:spacing w:before="156" w:line="279" w:lineRule="auto"/>
        <w:ind w:left="7" w:right="7" w:hanging="1"/>
        <w:rPr>
          <w:rFonts w:ascii="宋体" w:hAnsi="宋体" w:eastAsia="宋体" w:cs="宋体"/>
          <w:sz w:val="24"/>
          <w:szCs w:val="24"/>
        </w:rPr>
      </w:pPr>
      <w:r>
        <w:rPr>
          <w:rFonts w:ascii="Times New Roman" w:hAnsi="Times New Roman" w:eastAsia="Times New Roman" w:cs="Times New Roman"/>
          <w:spacing w:val="-2"/>
          <w:sz w:val="24"/>
          <w:szCs w:val="24"/>
        </w:rPr>
        <w:t xml:space="preserve">6.2.1    </w:t>
      </w:r>
      <w:r>
        <w:rPr>
          <w:rFonts w:ascii="宋体" w:hAnsi="宋体" w:eastAsia="宋体" w:cs="宋体"/>
          <w:spacing w:val="-2"/>
          <w:sz w:val="24"/>
          <w:szCs w:val="24"/>
        </w:rPr>
        <w:t>当塑料排水管道沟槽回填至设计高程后，应在</w:t>
      </w:r>
      <w:r>
        <w:rPr>
          <w:rFonts w:ascii="宋体" w:hAnsi="宋体" w:eastAsia="宋体" w:cs="宋体"/>
          <w:spacing w:val="-18"/>
          <w:sz w:val="24"/>
          <w:szCs w:val="24"/>
        </w:rPr>
        <w:t xml:space="preserve"> </w:t>
      </w:r>
      <w:r>
        <w:rPr>
          <w:rFonts w:ascii="Times New Roman" w:hAnsi="Times New Roman" w:eastAsia="Times New Roman" w:cs="Times New Roman"/>
          <w:spacing w:val="-2"/>
          <w:sz w:val="24"/>
          <w:szCs w:val="24"/>
        </w:rPr>
        <w:t>12h</w:t>
      </w:r>
      <w:r>
        <w:rPr>
          <w:rFonts w:ascii="宋体" w:hAnsi="宋体" w:eastAsia="宋体" w:cs="宋体"/>
          <w:spacing w:val="-2"/>
          <w:sz w:val="24"/>
          <w:szCs w:val="24"/>
        </w:rPr>
        <w:t>～</w:t>
      </w:r>
      <w:r>
        <w:rPr>
          <w:rFonts w:ascii="Times New Roman" w:hAnsi="Times New Roman" w:eastAsia="Times New Roman" w:cs="Times New Roman"/>
          <w:spacing w:val="-2"/>
          <w:sz w:val="24"/>
          <w:szCs w:val="24"/>
        </w:rPr>
        <w:t>24h</w:t>
      </w:r>
      <w:r>
        <w:rPr>
          <w:rFonts w:ascii="Times New Roman" w:hAnsi="Times New Roman" w:eastAsia="Times New Roman" w:cs="Times New Roman"/>
          <w:spacing w:val="38"/>
          <w:w w:val="101"/>
          <w:sz w:val="24"/>
          <w:szCs w:val="24"/>
        </w:rPr>
        <w:t xml:space="preserve"> </w:t>
      </w:r>
      <w:r>
        <w:rPr>
          <w:rFonts w:ascii="宋体" w:hAnsi="宋体" w:eastAsia="宋体" w:cs="宋体"/>
          <w:spacing w:val="-2"/>
          <w:sz w:val="24"/>
          <w:szCs w:val="24"/>
        </w:rPr>
        <w:t>内测量管道竖向直径变</w:t>
      </w:r>
      <w:r>
        <w:rPr>
          <w:rFonts w:ascii="宋体" w:hAnsi="宋体" w:eastAsia="宋体" w:cs="宋体"/>
          <w:sz w:val="24"/>
          <w:szCs w:val="24"/>
        </w:rPr>
        <w:t xml:space="preserve"> </w:t>
      </w:r>
      <w:r>
        <w:rPr>
          <w:rFonts w:ascii="宋体" w:hAnsi="宋体" w:eastAsia="宋体" w:cs="宋体"/>
          <w:spacing w:val="-4"/>
          <w:sz w:val="24"/>
          <w:szCs w:val="24"/>
        </w:rPr>
        <w:t>形量，并应计算管道变形率。</w:t>
      </w:r>
    </w:p>
    <w:p w14:paraId="11E1DB48">
      <w:pPr>
        <w:spacing w:before="301" w:line="227" w:lineRule="auto"/>
        <w:ind w:left="9"/>
        <w:outlineLvl w:val="0"/>
        <w:rPr>
          <w:rFonts w:ascii="宋体" w:hAnsi="宋体" w:eastAsia="宋体" w:cs="宋体"/>
          <w:sz w:val="27"/>
          <w:szCs w:val="27"/>
        </w:rPr>
      </w:pPr>
      <w:bookmarkStart w:id="76" w:name="bookmark122"/>
      <w:bookmarkEnd w:id="76"/>
      <w:r>
        <w:rPr>
          <w:rFonts w:ascii="宋体" w:hAnsi="宋体" w:eastAsia="宋体" w:cs="宋体"/>
          <w:b/>
          <w:bCs/>
          <w:spacing w:val="6"/>
          <w:sz w:val="27"/>
          <w:szCs w:val="27"/>
        </w:rPr>
        <w:t>六、智能建筑与建筑节能</w:t>
      </w:r>
    </w:p>
    <w:p w14:paraId="019AD649">
      <w:pPr>
        <w:spacing w:before="312" w:line="226" w:lineRule="auto"/>
        <w:ind w:left="14"/>
        <w:outlineLvl w:val="1"/>
        <w:rPr>
          <w:rFonts w:ascii="宋体" w:hAnsi="宋体" w:eastAsia="宋体" w:cs="宋体"/>
          <w:sz w:val="27"/>
          <w:szCs w:val="27"/>
        </w:rPr>
      </w:pPr>
      <w:bookmarkStart w:id="77" w:name="bookmark123"/>
      <w:bookmarkEnd w:id="77"/>
      <w:r>
        <w:rPr>
          <w:rFonts w:ascii="Times New Roman" w:hAnsi="Times New Roman" w:eastAsia="Times New Roman" w:cs="Times New Roman"/>
          <w:b/>
          <w:bCs/>
          <w:spacing w:val="6"/>
          <w:sz w:val="27"/>
          <w:szCs w:val="27"/>
        </w:rPr>
        <w:t>1.</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 xml:space="preserve">50339-2013  </w:t>
      </w:r>
      <w:r>
        <w:rPr>
          <w:rFonts w:ascii="宋体" w:hAnsi="宋体" w:eastAsia="宋体" w:cs="宋体"/>
          <w:b/>
          <w:bCs/>
          <w:spacing w:val="6"/>
          <w:sz w:val="27"/>
          <w:szCs w:val="27"/>
        </w:rPr>
        <w:t>智能建筑工程质量验收规范【强条已废】</w:t>
      </w:r>
    </w:p>
    <w:p w14:paraId="3A454377">
      <w:pPr>
        <w:spacing w:before="285"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GB55024-2022 </w:t>
      </w:r>
      <w:r>
        <w:rPr>
          <w:rFonts w:ascii="宋体" w:hAnsi="宋体" w:eastAsia="宋体" w:cs="宋体"/>
          <w:b/>
          <w:bCs/>
          <w:color w:val="0563C1"/>
          <w:spacing w:val="-2"/>
          <w:sz w:val="24"/>
          <w:szCs w:val="24"/>
          <w:u w:val="single" w:color="auto"/>
        </w:rPr>
        <w:t>建筑电气与智能化通用规范</w:t>
      </w:r>
      <w:r>
        <w:rPr>
          <w:rFonts w:ascii="宋体" w:hAnsi="宋体" w:eastAsia="宋体" w:cs="宋体"/>
          <w:b/>
          <w:bCs/>
          <w:color w:val="EE0000"/>
          <w:spacing w:val="-2"/>
          <w:sz w:val="24"/>
          <w:szCs w:val="24"/>
        </w:rPr>
        <w:t>》替代</w:t>
      </w:r>
    </w:p>
    <w:p w14:paraId="098C368E">
      <w:pPr>
        <w:spacing w:before="155" w:line="279" w:lineRule="auto"/>
        <w:ind w:left="7" w:right="127" w:firstLine="16"/>
        <w:rPr>
          <w:rFonts w:ascii="宋体" w:hAnsi="宋体" w:eastAsia="宋体" w:cs="宋体"/>
          <w:sz w:val="24"/>
          <w:szCs w:val="24"/>
        </w:rPr>
      </w:pPr>
      <w:r>
        <w:rPr>
          <w:rFonts w:ascii="Times New Roman" w:hAnsi="Times New Roman" w:eastAsia="Times New Roman" w:cs="Times New Roman"/>
          <w:strike/>
          <w:spacing w:val="-1"/>
          <w:sz w:val="24"/>
          <w:szCs w:val="24"/>
        </w:rPr>
        <w:t xml:space="preserve">12.0.2  </w:t>
      </w:r>
      <w:r>
        <w:rPr>
          <w:rFonts w:ascii="宋体" w:hAnsi="宋体" w:eastAsia="宋体" w:cs="宋体"/>
          <w:strike/>
          <w:spacing w:val="-1"/>
          <w:sz w:val="24"/>
          <w:szCs w:val="24"/>
        </w:rPr>
        <w:t>当紧急广播系统具有火灾应急广播功能时，应检查传输线缆、槽盒和导管的防</w:t>
      </w:r>
      <w:r>
        <w:rPr>
          <w:rFonts w:ascii="宋体" w:hAnsi="宋体" w:eastAsia="宋体" w:cs="宋体"/>
          <w:spacing w:val="12"/>
          <w:sz w:val="24"/>
          <w:szCs w:val="24"/>
        </w:rPr>
        <w:t xml:space="preserve"> </w:t>
      </w:r>
      <w:r>
        <w:rPr>
          <w:rFonts w:ascii="宋体" w:hAnsi="宋体" w:eastAsia="宋体" w:cs="宋体"/>
          <w:strike/>
          <w:spacing w:val="-2"/>
          <w:sz w:val="24"/>
          <w:szCs w:val="24"/>
        </w:rPr>
        <w:t>火保护措施。</w:t>
      </w:r>
    </w:p>
    <w:p w14:paraId="53CC6A8B">
      <w:pPr>
        <w:spacing w:before="154" w:line="283" w:lineRule="auto"/>
        <w:ind w:left="5" w:right="127" w:hanging="4"/>
        <w:rPr>
          <w:rFonts w:ascii="宋体" w:hAnsi="宋体" w:eastAsia="宋体" w:cs="宋体"/>
          <w:sz w:val="24"/>
          <w:szCs w:val="24"/>
        </w:rPr>
      </w:pPr>
      <w:r>
        <w:rPr>
          <w:rFonts w:ascii="Times New Roman" w:hAnsi="Times New Roman" w:eastAsia="Times New Roman" w:cs="Times New Roman"/>
          <w:strike/>
          <w:sz w:val="24"/>
          <w:szCs w:val="24"/>
        </w:rPr>
        <w:t xml:space="preserve">22.0.4  </w:t>
      </w:r>
      <w:r>
        <w:rPr>
          <w:rFonts w:ascii="宋体" w:hAnsi="宋体" w:eastAsia="宋体" w:cs="宋体"/>
          <w:strike/>
          <w:sz w:val="24"/>
          <w:szCs w:val="24"/>
        </w:rPr>
        <w:t>智能建筑的接地系统必须保证建筑内各智能化系统的正常运行</w:t>
      </w:r>
      <w:r>
        <w:rPr>
          <w:rFonts w:ascii="宋体" w:hAnsi="宋体" w:eastAsia="宋体" w:cs="宋体"/>
          <w:strike/>
          <w:spacing w:val="-1"/>
          <w:sz w:val="24"/>
          <w:szCs w:val="24"/>
        </w:rPr>
        <w:t>和人身、设备安</w:t>
      </w:r>
      <w:r>
        <w:rPr>
          <w:rFonts w:ascii="宋体" w:hAnsi="宋体" w:eastAsia="宋体" w:cs="宋体"/>
          <w:sz w:val="24"/>
          <w:szCs w:val="24"/>
        </w:rPr>
        <w:t xml:space="preserve"> </w:t>
      </w:r>
      <w:r>
        <w:rPr>
          <w:rFonts w:ascii="宋体" w:hAnsi="宋体" w:eastAsia="宋体" w:cs="宋体"/>
          <w:strike/>
          <w:spacing w:val="-3"/>
          <w:sz w:val="24"/>
          <w:szCs w:val="24"/>
        </w:rPr>
        <w:t>全。</w:t>
      </w:r>
    </w:p>
    <w:p w14:paraId="79F2BBB1">
      <w:pPr>
        <w:spacing w:before="192" w:line="226" w:lineRule="auto"/>
        <w:ind w:left="2"/>
        <w:outlineLvl w:val="1"/>
        <w:rPr>
          <w:rFonts w:ascii="宋体" w:hAnsi="宋体" w:eastAsia="宋体" w:cs="宋体"/>
          <w:sz w:val="27"/>
          <w:szCs w:val="27"/>
        </w:rPr>
      </w:pPr>
      <w:bookmarkStart w:id="78" w:name="bookmark124"/>
      <w:bookmarkEnd w:id="78"/>
      <w:r>
        <w:rPr>
          <w:rFonts w:ascii="Times New Roman" w:hAnsi="Times New Roman" w:eastAsia="Times New Roman" w:cs="Times New Roman"/>
          <w:b/>
          <w:bCs/>
          <w:spacing w:val="6"/>
          <w:sz w:val="27"/>
          <w:szCs w:val="27"/>
        </w:rPr>
        <w:t>2.</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50364-2018</w:t>
      </w:r>
      <w:r>
        <w:rPr>
          <w:rFonts w:ascii="Times New Roman" w:hAnsi="Times New Roman" w:eastAsia="Times New Roman" w:cs="Times New Roman"/>
          <w:b/>
          <w:bCs/>
          <w:spacing w:val="22"/>
          <w:sz w:val="27"/>
          <w:szCs w:val="27"/>
        </w:rPr>
        <w:t xml:space="preserve">  </w:t>
      </w:r>
      <w:r>
        <w:rPr>
          <w:rFonts w:ascii="宋体" w:hAnsi="宋体" w:eastAsia="宋体" w:cs="宋体"/>
          <w:b/>
          <w:bCs/>
          <w:spacing w:val="6"/>
          <w:sz w:val="27"/>
          <w:szCs w:val="27"/>
        </w:rPr>
        <w:t>民用建筑太阳能热水系统应用技术标准</w:t>
      </w:r>
      <w:r>
        <w:rPr>
          <w:rFonts w:ascii="宋体" w:hAnsi="宋体" w:eastAsia="宋体" w:cs="宋体"/>
          <w:b/>
          <w:bCs/>
          <w:spacing w:val="5"/>
          <w:sz w:val="27"/>
          <w:szCs w:val="27"/>
        </w:rPr>
        <w:t>【强条已废】</w:t>
      </w:r>
    </w:p>
    <w:p w14:paraId="629325AC">
      <w:pPr>
        <w:spacing w:before="285"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GB55015-2021 </w:t>
      </w:r>
      <w:r>
        <w:rPr>
          <w:rFonts w:ascii="宋体" w:hAnsi="宋体" w:eastAsia="宋体" w:cs="宋体"/>
          <w:b/>
          <w:bCs/>
          <w:color w:val="0563C1"/>
          <w:spacing w:val="-2"/>
          <w:sz w:val="24"/>
          <w:szCs w:val="24"/>
          <w:u w:val="single" w:color="auto"/>
        </w:rPr>
        <w:t>建筑节能与可再生能源利用通用规范</w:t>
      </w:r>
      <w:r>
        <w:rPr>
          <w:rFonts w:ascii="宋体" w:hAnsi="宋体" w:eastAsia="宋体" w:cs="宋体"/>
          <w:b/>
          <w:bCs/>
          <w:color w:val="EE0000"/>
          <w:spacing w:val="-2"/>
          <w:sz w:val="24"/>
          <w:szCs w:val="24"/>
        </w:rPr>
        <w:t>》替代</w:t>
      </w:r>
    </w:p>
    <w:p w14:paraId="06F403E3">
      <w:pPr>
        <w:spacing w:before="156" w:line="279" w:lineRule="auto"/>
        <w:ind w:left="8" w:right="127" w:hanging="3"/>
        <w:rPr>
          <w:rFonts w:ascii="宋体" w:hAnsi="宋体" w:eastAsia="宋体" w:cs="宋体"/>
          <w:sz w:val="24"/>
          <w:szCs w:val="24"/>
        </w:rPr>
      </w:pPr>
      <w:r>
        <w:rPr>
          <w:rFonts w:ascii="Times New Roman" w:hAnsi="Times New Roman" w:eastAsia="Times New Roman" w:cs="Times New Roman"/>
          <w:strike/>
          <w:sz w:val="24"/>
          <w:szCs w:val="24"/>
        </w:rPr>
        <w:t xml:space="preserve">3.0.4    </w:t>
      </w:r>
      <w:r>
        <w:rPr>
          <w:rFonts w:ascii="宋体" w:hAnsi="宋体" w:eastAsia="宋体" w:cs="宋体"/>
          <w:strike/>
          <w:sz w:val="24"/>
          <w:szCs w:val="24"/>
        </w:rPr>
        <w:t>在既有建筑上增设或改造太阳能热水系统，必须经建</w:t>
      </w:r>
      <w:r>
        <w:rPr>
          <w:rFonts w:ascii="宋体" w:hAnsi="宋体" w:eastAsia="宋体" w:cs="宋体"/>
          <w:strike/>
          <w:spacing w:val="-1"/>
          <w:sz w:val="24"/>
          <w:szCs w:val="24"/>
        </w:rPr>
        <w:t>筑结构安全复核，并应满</w:t>
      </w:r>
      <w:r>
        <w:rPr>
          <w:rFonts w:ascii="宋体" w:hAnsi="宋体" w:eastAsia="宋体" w:cs="宋体"/>
          <w:sz w:val="24"/>
          <w:szCs w:val="24"/>
        </w:rPr>
        <w:t xml:space="preserve"> </w:t>
      </w:r>
      <w:r>
        <w:rPr>
          <w:rFonts w:ascii="宋体" w:hAnsi="宋体" w:eastAsia="宋体" w:cs="宋体"/>
          <w:strike/>
          <w:spacing w:val="-2"/>
          <w:sz w:val="24"/>
          <w:szCs w:val="24"/>
        </w:rPr>
        <w:t>足建筑结构的安全性要求。</w:t>
      </w:r>
    </w:p>
    <w:p w14:paraId="57C3BF41">
      <w:pPr>
        <w:spacing w:before="153"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3.0.5    </w:t>
      </w:r>
      <w:r>
        <w:rPr>
          <w:rFonts w:ascii="宋体" w:hAnsi="宋体" w:eastAsia="宋体" w:cs="宋体"/>
          <w:strike/>
          <w:sz w:val="24"/>
          <w:szCs w:val="24"/>
        </w:rPr>
        <w:t>建筑物上安装太阳能热水系统，不得降</w:t>
      </w:r>
      <w:r>
        <w:rPr>
          <w:rFonts w:ascii="宋体" w:hAnsi="宋体" w:eastAsia="宋体" w:cs="宋体"/>
          <w:strike/>
          <w:spacing w:val="-1"/>
          <w:sz w:val="24"/>
          <w:szCs w:val="24"/>
        </w:rPr>
        <w:t>低相邻建筑的日照标准。</w:t>
      </w:r>
    </w:p>
    <w:p w14:paraId="444CF205">
      <w:pPr>
        <w:spacing w:before="154"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3.0.7    </w:t>
      </w:r>
      <w:r>
        <w:rPr>
          <w:rFonts w:ascii="宋体" w:hAnsi="宋体" w:eastAsia="宋体" w:cs="宋体"/>
          <w:strike/>
          <w:sz w:val="24"/>
          <w:szCs w:val="24"/>
        </w:rPr>
        <w:t>太阳能集热器的支撑结构应满足太阳能集热器运行</w:t>
      </w:r>
      <w:r>
        <w:rPr>
          <w:rFonts w:ascii="宋体" w:hAnsi="宋体" w:eastAsia="宋体" w:cs="宋体"/>
          <w:strike/>
          <w:spacing w:val="-1"/>
          <w:sz w:val="24"/>
          <w:szCs w:val="24"/>
        </w:rPr>
        <w:t>状态的最大荷载的作用。</w:t>
      </w:r>
    </w:p>
    <w:p w14:paraId="436BB389">
      <w:pPr>
        <w:spacing w:before="155" w:line="279" w:lineRule="auto"/>
        <w:ind w:left="5" w:right="127"/>
        <w:rPr>
          <w:rFonts w:ascii="宋体" w:hAnsi="宋体" w:eastAsia="宋体" w:cs="宋体"/>
          <w:sz w:val="24"/>
          <w:szCs w:val="24"/>
        </w:rPr>
      </w:pPr>
      <w:r>
        <w:rPr>
          <w:rFonts w:ascii="Times New Roman" w:hAnsi="Times New Roman" w:eastAsia="Times New Roman" w:cs="Times New Roman"/>
          <w:strike/>
          <w:sz w:val="24"/>
          <w:szCs w:val="24"/>
        </w:rPr>
        <w:t xml:space="preserve">3.0.8    </w:t>
      </w:r>
      <w:r>
        <w:rPr>
          <w:rFonts w:ascii="宋体" w:hAnsi="宋体" w:eastAsia="宋体" w:cs="宋体"/>
          <w:strike/>
          <w:sz w:val="24"/>
          <w:szCs w:val="24"/>
        </w:rPr>
        <w:t>太阳能热水系统的连接件与主体结构的锚固承载力设</w:t>
      </w:r>
      <w:r>
        <w:rPr>
          <w:rFonts w:ascii="宋体" w:hAnsi="宋体" w:eastAsia="宋体" w:cs="宋体"/>
          <w:strike/>
          <w:spacing w:val="-1"/>
          <w:sz w:val="24"/>
          <w:szCs w:val="24"/>
        </w:rPr>
        <w:t>计值应大于连接件本身的</w:t>
      </w:r>
      <w:r>
        <w:rPr>
          <w:rFonts w:ascii="宋体" w:hAnsi="宋体" w:eastAsia="宋体" w:cs="宋体"/>
          <w:sz w:val="24"/>
          <w:szCs w:val="24"/>
        </w:rPr>
        <w:t xml:space="preserve"> </w:t>
      </w:r>
      <w:r>
        <w:rPr>
          <w:rFonts w:ascii="宋体" w:hAnsi="宋体" w:eastAsia="宋体" w:cs="宋体"/>
          <w:strike/>
          <w:spacing w:val="-2"/>
          <w:sz w:val="24"/>
          <w:szCs w:val="24"/>
        </w:rPr>
        <w:t>承载力设计值。</w:t>
      </w:r>
    </w:p>
    <w:p w14:paraId="7D25739E">
      <w:pPr>
        <w:spacing w:before="156" w:line="279" w:lineRule="auto"/>
        <w:ind w:left="8" w:right="127" w:hanging="9"/>
        <w:rPr>
          <w:rFonts w:ascii="宋体" w:hAnsi="宋体" w:eastAsia="宋体" w:cs="宋体"/>
          <w:sz w:val="24"/>
          <w:szCs w:val="24"/>
        </w:rPr>
      </w:pPr>
      <w:r>
        <w:rPr>
          <w:rFonts w:ascii="Times New Roman" w:hAnsi="Times New Roman" w:eastAsia="Times New Roman" w:cs="Times New Roman"/>
          <w:strike/>
          <w:sz w:val="24"/>
          <w:szCs w:val="24"/>
        </w:rPr>
        <w:t xml:space="preserve">4.2.3    </w:t>
      </w:r>
      <w:r>
        <w:rPr>
          <w:rFonts w:ascii="宋体" w:hAnsi="宋体" w:eastAsia="宋体" w:cs="宋体"/>
          <w:strike/>
          <w:sz w:val="24"/>
          <w:szCs w:val="24"/>
        </w:rPr>
        <w:t>安装太阳能集热器的建筑部位，应设置防止集热器损坏后部件坠落</w:t>
      </w:r>
      <w:r>
        <w:rPr>
          <w:rFonts w:ascii="宋体" w:hAnsi="宋体" w:eastAsia="宋体" w:cs="宋体"/>
          <w:strike/>
          <w:spacing w:val="-1"/>
          <w:sz w:val="24"/>
          <w:szCs w:val="24"/>
        </w:rPr>
        <w:t>伤人的安全</w:t>
      </w:r>
      <w:r>
        <w:rPr>
          <w:rFonts w:ascii="宋体" w:hAnsi="宋体" w:eastAsia="宋体" w:cs="宋体"/>
          <w:sz w:val="24"/>
          <w:szCs w:val="24"/>
        </w:rPr>
        <w:t xml:space="preserve"> </w:t>
      </w:r>
      <w:r>
        <w:rPr>
          <w:rFonts w:ascii="宋体" w:hAnsi="宋体" w:eastAsia="宋体" w:cs="宋体"/>
          <w:strike/>
          <w:spacing w:val="-3"/>
          <w:sz w:val="24"/>
          <w:szCs w:val="24"/>
        </w:rPr>
        <w:t>设施。</w:t>
      </w:r>
    </w:p>
    <w:p w14:paraId="6EBCC2C6">
      <w:pPr>
        <w:spacing w:before="152"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4.2.7    </w:t>
      </w:r>
      <w:r>
        <w:rPr>
          <w:rFonts w:ascii="宋体" w:hAnsi="宋体" w:eastAsia="宋体" w:cs="宋体"/>
          <w:strike/>
          <w:sz w:val="24"/>
          <w:szCs w:val="24"/>
        </w:rPr>
        <w:t>在阳台设置太阳能集热器应符合</w:t>
      </w:r>
      <w:r>
        <w:rPr>
          <w:rFonts w:ascii="宋体" w:hAnsi="宋体" w:eastAsia="宋体" w:cs="宋体"/>
          <w:strike/>
          <w:spacing w:val="-1"/>
          <w:sz w:val="24"/>
          <w:szCs w:val="24"/>
        </w:rPr>
        <w:t>下列规定：</w:t>
      </w:r>
    </w:p>
    <w:p w14:paraId="48F968D4">
      <w:pPr>
        <w:spacing w:before="155" w:line="219" w:lineRule="auto"/>
        <w:ind w:left="2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设置在阳台栏板上的集热器支架应与阳台栏板上的预埋件牢固连接；</w:t>
      </w:r>
    </w:p>
    <w:p w14:paraId="0B281186">
      <w:pPr>
        <w:spacing w:before="155" w:line="219"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当集热器构成阳台栏板时，应满足阳台栏板的刚度、强度及防</w:t>
      </w:r>
      <w:r>
        <w:rPr>
          <w:rFonts w:ascii="宋体" w:hAnsi="宋体" w:eastAsia="宋体" w:cs="宋体"/>
          <w:strike/>
          <w:spacing w:val="-1"/>
          <w:sz w:val="24"/>
          <w:szCs w:val="24"/>
        </w:rPr>
        <w:t>护功能要求。</w:t>
      </w:r>
    </w:p>
    <w:p w14:paraId="7D2D3A43">
      <w:pPr>
        <w:spacing w:line="219" w:lineRule="auto"/>
        <w:rPr>
          <w:rFonts w:ascii="宋体" w:hAnsi="宋体" w:eastAsia="宋体" w:cs="宋体"/>
          <w:sz w:val="24"/>
          <w:szCs w:val="24"/>
        </w:rPr>
        <w:sectPr>
          <w:footerReference r:id="rId59" w:type="default"/>
          <w:pgSz w:w="11907" w:h="16839"/>
          <w:pgMar w:top="400" w:right="1481" w:bottom="743" w:left="1421" w:header="0" w:footer="582" w:gutter="0"/>
          <w:cols w:space="720" w:num="1"/>
        </w:sectPr>
      </w:pPr>
    </w:p>
    <w:p w14:paraId="50C787F6">
      <w:pPr>
        <w:pStyle w:val="2"/>
        <w:spacing w:line="303" w:lineRule="auto"/>
      </w:pPr>
    </w:p>
    <w:p w14:paraId="7C3BB65B">
      <w:pPr>
        <w:pStyle w:val="2"/>
        <w:spacing w:line="303" w:lineRule="auto"/>
      </w:pPr>
    </w:p>
    <w:p w14:paraId="713D9E99">
      <w:pPr>
        <w:pStyle w:val="2"/>
        <w:spacing w:line="304" w:lineRule="auto"/>
      </w:pPr>
    </w:p>
    <w:p w14:paraId="4DC43022">
      <w:pPr>
        <w:spacing w:before="78" w:line="279" w:lineRule="auto"/>
        <w:ind w:left="5" w:right="120" w:firstLine="2"/>
        <w:rPr>
          <w:rFonts w:ascii="宋体" w:hAnsi="宋体" w:eastAsia="宋体" w:cs="宋体"/>
          <w:sz w:val="24"/>
          <w:szCs w:val="24"/>
        </w:rPr>
      </w:pPr>
      <w:r>
        <w:rPr>
          <w:rFonts w:ascii="Times New Roman" w:hAnsi="Times New Roman" w:eastAsia="Times New Roman" w:cs="Times New Roman"/>
          <w:strike/>
          <w:sz w:val="24"/>
          <w:szCs w:val="24"/>
        </w:rPr>
        <w:t xml:space="preserve">5.3.2    </w:t>
      </w:r>
      <w:r>
        <w:rPr>
          <w:rFonts w:ascii="宋体" w:hAnsi="宋体" w:eastAsia="宋体" w:cs="宋体"/>
          <w:strike/>
          <w:sz w:val="24"/>
          <w:szCs w:val="24"/>
        </w:rPr>
        <w:t>太阳能热水系统应采取防冻、防结露、防过热、</w:t>
      </w:r>
      <w:r>
        <w:rPr>
          <w:rFonts w:ascii="宋体" w:hAnsi="宋体" w:eastAsia="宋体" w:cs="宋体"/>
          <w:strike/>
          <w:spacing w:val="-1"/>
          <w:sz w:val="24"/>
          <w:szCs w:val="24"/>
        </w:rPr>
        <w:t>防电击、防雷、抗雹、抗风、</w:t>
      </w:r>
      <w:r>
        <w:rPr>
          <w:rFonts w:ascii="宋体" w:hAnsi="宋体" w:eastAsia="宋体" w:cs="宋体"/>
          <w:sz w:val="24"/>
          <w:szCs w:val="24"/>
        </w:rPr>
        <w:t xml:space="preserve"> </w:t>
      </w:r>
      <w:r>
        <w:rPr>
          <w:rFonts w:ascii="宋体" w:hAnsi="宋体" w:eastAsia="宋体" w:cs="宋体"/>
          <w:strike/>
          <w:spacing w:val="-2"/>
          <w:sz w:val="24"/>
          <w:szCs w:val="24"/>
        </w:rPr>
        <w:t>抗震等技术措施。</w:t>
      </w:r>
    </w:p>
    <w:p w14:paraId="2FD143DB">
      <w:pPr>
        <w:spacing w:before="154" w:line="279" w:lineRule="auto"/>
        <w:ind w:left="9" w:hanging="2"/>
        <w:rPr>
          <w:rFonts w:ascii="宋体" w:hAnsi="宋体" w:eastAsia="宋体" w:cs="宋体"/>
          <w:sz w:val="24"/>
          <w:szCs w:val="24"/>
        </w:rPr>
      </w:pPr>
      <w:r>
        <w:rPr>
          <w:rFonts w:ascii="Times New Roman" w:hAnsi="Times New Roman" w:eastAsia="Times New Roman" w:cs="Times New Roman"/>
          <w:strike/>
          <w:sz w:val="24"/>
          <w:szCs w:val="24"/>
        </w:rPr>
        <w:t xml:space="preserve">5.4.12    </w:t>
      </w:r>
      <w:r>
        <w:rPr>
          <w:rFonts w:ascii="宋体" w:hAnsi="宋体" w:eastAsia="宋体" w:cs="宋体"/>
          <w:strike/>
          <w:sz w:val="24"/>
          <w:szCs w:val="24"/>
        </w:rPr>
        <w:t>安装在建筑上或直接构成建筑围护结构的太阳能</w:t>
      </w:r>
      <w:r>
        <w:rPr>
          <w:rFonts w:ascii="宋体" w:hAnsi="宋体" w:eastAsia="宋体" w:cs="宋体"/>
          <w:strike/>
          <w:spacing w:val="-1"/>
          <w:sz w:val="24"/>
          <w:szCs w:val="24"/>
        </w:rPr>
        <w:t>集热器，应有防止热水渗漏的</w:t>
      </w:r>
      <w:r>
        <w:rPr>
          <w:rFonts w:ascii="宋体" w:hAnsi="宋体" w:eastAsia="宋体" w:cs="宋体"/>
          <w:sz w:val="24"/>
          <w:szCs w:val="24"/>
        </w:rPr>
        <w:t xml:space="preserve"> </w:t>
      </w:r>
      <w:r>
        <w:rPr>
          <w:rFonts w:ascii="宋体" w:hAnsi="宋体" w:eastAsia="宋体" w:cs="宋体"/>
          <w:strike/>
          <w:spacing w:val="-2"/>
          <w:sz w:val="24"/>
          <w:szCs w:val="24"/>
        </w:rPr>
        <w:t>安全保障措施。</w:t>
      </w:r>
    </w:p>
    <w:p w14:paraId="49910771">
      <w:pPr>
        <w:spacing w:before="154" w:line="220"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5.7.2    </w:t>
      </w:r>
      <w:r>
        <w:rPr>
          <w:rFonts w:ascii="宋体" w:hAnsi="宋体" w:eastAsia="宋体" w:cs="宋体"/>
          <w:strike/>
          <w:sz w:val="24"/>
          <w:szCs w:val="24"/>
        </w:rPr>
        <w:t>太阳能热水系统中所使用的电气设备应装设短</w:t>
      </w:r>
      <w:r>
        <w:rPr>
          <w:rFonts w:ascii="宋体" w:hAnsi="宋体" w:eastAsia="宋体" w:cs="宋体"/>
          <w:strike/>
          <w:spacing w:val="-1"/>
          <w:sz w:val="24"/>
          <w:szCs w:val="24"/>
        </w:rPr>
        <w:t>路保护和接地故障保护装置。</w:t>
      </w:r>
    </w:p>
    <w:p w14:paraId="77500297">
      <w:pPr>
        <w:spacing w:before="201" w:line="226" w:lineRule="auto"/>
        <w:outlineLvl w:val="1"/>
        <w:rPr>
          <w:rFonts w:ascii="宋体" w:hAnsi="宋体" w:eastAsia="宋体" w:cs="宋体"/>
          <w:sz w:val="27"/>
          <w:szCs w:val="27"/>
        </w:rPr>
      </w:pPr>
      <w:bookmarkStart w:id="79" w:name="bookmark125"/>
      <w:bookmarkEnd w:id="79"/>
      <w:r>
        <w:rPr>
          <w:rFonts w:ascii="Times New Roman" w:hAnsi="Times New Roman" w:eastAsia="Times New Roman" w:cs="Times New Roman"/>
          <w:b/>
          <w:bCs/>
          <w:spacing w:val="6"/>
          <w:sz w:val="27"/>
          <w:szCs w:val="27"/>
        </w:rPr>
        <w:t>3.</w:t>
      </w:r>
      <w:r>
        <w:rPr>
          <w:rFonts w:ascii="Times New Roman" w:hAnsi="Times New Roman" w:eastAsia="Times New Roman" w:cs="Times New Roman"/>
          <w:b/>
          <w:bCs/>
          <w:spacing w:val="-36"/>
          <w:sz w:val="27"/>
          <w:szCs w:val="27"/>
        </w:rPr>
        <w:t xml:space="preserve"> </w:t>
      </w:r>
      <w:r>
        <w:rPr>
          <w:rFonts w:ascii="宋体" w:hAnsi="宋体" w:eastAsia="宋体" w:cs="宋体"/>
          <w:b/>
          <w:bCs/>
          <w:spacing w:val="6"/>
          <w:sz w:val="27"/>
          <w:szCs w:val="27"/>
        </w:rPr>
        <w:t>《地源热泵系统工程技术规范》——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50366-2005</w:t>
      </w:r>
      <w:r>
        <w:rPr>
          <w:rFonts w:ascii="宋体" w:hAnsi="宋体" w:eastAsia="宋体" w:cs="宋体"/>
          <w:b/>
          <w:bCs/>
          <w:spacing w:val="6"/>
          <w:sz w:val="27"/>
          <w:szCs w:val="27"/>
        </w:rPr>
        <w:t>【强条已废】</w:t>
      </w:r>
    </w:p>
    <w:p w14:paraId="2C8C026B">
      <w:pPr>
        <w:spacing w:before="284"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GB55015-2021 </w:t>
      </w:r>
      <w:r>
        <w:rPr>
          <w:rFonts w:ascii="宋体" w:hAnsi="宋体" w:eastAsia="宋体" w:cs="宋体"/>
          <w:b/>
          <w:bCs/>
          <w:color w:val="0563C1"/>
          <w:spacing w:val="-2"/>
          <w:sz w:val="24"/>
          <w:szCs w:val="24"/>
          <w:u w:val="single" w:color="auto"/>
        </w:rPr>
        <w:t>建筑节能与可再生能源利用通用规范</w:t>
      </w:r>
      <w:r>
        <w:rPr>
          <w:rFonts w:ascii="宋体" w:hAnsi="宋体" w:eastAsia="宋体" w:cs="宋体"/>
          <w:b/>
          <w:bCs/>
          <w:color w:val="EE0000"/>
          <w:spacing w:val="-2"/>
          <w:sz w:val="24"/>
          <w:szCs w:val="24"/>
        </w:rPr>
        <w:t>》替代</w:t>
      </w:r>
    </w:p>
    <w:p w14:paraId="7618A945">
      <w:pPr>
        <w:spacing w:before="155" w:line="279" w:lineRule="auto"/>
        <w:ind w:left="3" w:right="120" w:firstLine="2"/>
        <w:rPr>
          <w:rFonts w:ascii="宋体" w:hAnsi="宋体" w:eastAsia="宋体" w:cs="宋体"/>
          <w:sz w:val="24"/>
          <w:szCs w:val="24"/>
        </w:rPr>
      </w:pPr>
      <w:r>
        <w:rPr>
          <w:rFonts w:ascii="Times New Roman" w:hAnsi="Times New Roman" w:eastAsia="Times New Roman" w:cs="Times New Roman"/>
          <w:strike/>
          <w:sz w:val="24"/>
          <w:szCs w:val="24"/>
        </w:rPr>
        <w:t xml:space="preserve">3.1.1    </w:t>
      </w:r>
      <w:r>
        <w:rPr>
          <w:rFonts w:ascii="宋体" w:hAnsi="宋体" w:eastAsia="宋体" w:cs="宋体"/>
          <w:strike/>
          <w:sz w:val="24"/>
          <w:szCs w:val="24"/>
        </w:rPr>
        <w:t>地源热泵系统方案设计前，应进行工程场地状况调查</w:t>
      </w:r>
      <w:r>
        <w:rPr>
          <w:rFonts w:ascii="宋体" w:hAnsi="宋体" w:eastAsia="宋体" w:cs="宋体"/>
          <w:strike/>
          <w:spacing w:val="-1"/>
          <w:sz w:val="24"/>
          <w:szCs w:val="24"/>
        </w:rPr>
        <w:t>，并应对浅层地热能资源</w:t>
      </w:r>
      <w:r>
        <w:rPr>
          <w:rFonts w:ascii="宋体" w:hAnsi="宋体" w:eastAsia="宋体" w:cs="宋体"/>
          <w:sz w:val="24"/>
          <w:szCs w:val="24"/>
        </w:rPr>
        <w:t xml:space="preserve"> </w:t>
      </w:r>
      <w:r>
        <w:rPr>
          <w:rFonts w:ascii="宋体" w:hAnsi="宋体" w:eastAsia="宋体" w:cs="宋体"/>
          <w:strike/>
          <w:spacing w:val="-2"/>
          <w:sz w:val="24"/>
          <w:szCs w:val="24"/>
        </w:rPr>
        <w:t>进行勘察。</w:t>
      </w:r>
    </w:p>
    <w:p w14:paraId="22B8AB26">
      <w:pPr>
        <w:spacing w:before="154" w:line="299" w:lineRule="auto"/>
        <w:ind w:left="5" w:right="119" w:firstLine="2"/>
        <w:rPr>
          <w:rFonts w:ascii="宋体" w:hAnsi="宋体" w:eastAsia="宋体" w:cs="宋体"/>
          <w:sz w:val="24"/>
          <w:szCs w:val="24"/>
        </w:rPr>
      </w:pPr>
      <w:r>
        <w:rPr>
          <w:rFonts w:ascii="Times New Roman" w:hAnsi="Times New Roman" w:eastAsia="Times New Roman" w:cs="Times New Roman"/>
          <w:strike/>
          <w:sz w:val="24"/>
          <w:szCs w:val="24"/>
        </w:rPr>
        <w:t xml:space="preserve">5.1.1    </w:t>
      </w:r>
      <w:r>
        <w:rPr>
          <w:rFonts w:ascii="宋体" w:hAnsi="宋体" w:eastAsia="宋体" w:cs="宋体"/>
          <w:strike/>
          <w:sz w:val="24"/>
          <w:szCs w:val="24"/>
        </w:rPr>
        <w:t>地下水换热系统应根据水文地质勘察资料进行设</w:t>
      </w:r>
      <w:r>
        <w:rPr>
          <w:rFonts w:ascii="宋体" w:hAnsi="宋体" w:eastAsia="宋体" w:cs="宋体"/>
          <w:strike/>
          <w:spacing w:val="-1"/>
          <w:sz w:val="24"/>
          <w:szCs w:val="24"/>
        </w:rPr>
        <w:t>计。必须采取可靠回灌措施，</w:t>
      </w:r>
      <w:r>
        <w:rPr>
          <w:rFonts w:ascii="宋体" w:hAnsi="宋体" w:eastAsia="宋体" w:cs="宋体"/>
          <w:sz w:val="24"/>
          <w:szCs w:val="24"/>
        </w:rPr>
        <w:t xml:space="preserve"> </w:t>
      </w:r>
      <w:r>
        <w:rPr>
          <w:rFonts w:ascii="宋体" w:hAnsi="宋体" w:eastAsia="宋体" w:cs="宋体"/>
          <w:strike/>
          <w:sz w:val="24"/>
          <w:szCs w:val="24"/>
        </w:rPr>
        <w:t>确保置换冷量或热量后的地下水全部回灌到同</w:t>
      </w:r>
      <w:r>
        <w:rPr>
          <w:rFonts w:ascii="宋体" w:hAnsi="宋体" w:eastAsia="宋体" w:cs="宋体"/>
          <w:sz w:val="24"/>
          <w:szCs w:val="24"/>
        </w:rPr>
        <w:t>一</w:t>
      </w:r>
      <w:r>
        <w:rPr>
          <w:rFonts w:ascii="宋体" w:hAnsi="宋体" w:eastAsia="宋体" w:cs="宋体"/>
          <w:strike/>
          <w:sz w:val="24"/>
          <w:szCs w:val="24"/>
        </w:rPr>
        <w:t>含水层，并</w:t>
      </w:r>
      <w:r>
        <w:rPr>
          <w:rFonts w:ascii="宋体" w:hAnsi="宋体" w:eastAsia="宋体" w:cs="宋体"/>
          <w:strike/>
          <w:spacing w:val="-1"/>
          <w:sz w:val="24"/>
          <w:szCs w:val="24"/>
        </w:rPr>
        <w:t>不得对地下水资源造成浪</w:t>
      </w:r>
      <w:r>
        <w:rPr>
          <w:rFonts w:ascii="宋体" w:hAnsi="宋体" w:eastAsia="宋体" w:cs="宋体"/>
          <w:sz w:val="24"/>
          <w:szCs w:val="24"/>
        </w:rPr>
        <w:t xml:space="preserve"> </w:t>
      </w:r>
      <w:r>
        <w:rPr>
          <w:rFonts w:ascii="宋体" w:hAnsi="宋体" w:eastAsia="宋体" w:cs="宋体"/>
          <w:strike/>
          <w:sz w:val="24"/>
          <w:szCs w:val="24"/>
        </w:rPr>
        <w:t>费及污染。系统投入运行后，应对抽水量、回灌量</w:t>
      </w:r>
      <w:r>
        <w:rPr>
          <w:rFonts w:ascii="宋体" w:hAnsi="宋体" w:eastAsia="宋体" w:cs="宋体"/>
          <w:strike/>
          <w:spacing w:val="-1"/>
          <w:sz w:val="24"/>
          <w:szCs w:val="24"/>
        </w:rPr>
        <w:t>及其水质进行定期监测。</w:t>
      </w:r>
    </w:p>
    <w:p w14:paraId="184CF39C">
      <w:pPr>
        <w:spacing w:before="201" w:line="226" w:lineRule="auto"/>
        <w:ind w:left="3"/>
        <w:outlineLvl w:val="2"/>
        <w:rPr>
          <w:rFonts w:ascii="Times New Roman" w:hAnsi="Times New Roman" w:eastAsia="Times New Roman" w:cs="Times New Roman"/>
          <w:sz w:val="27"/>
          <w:szCs w:val="27"/>
        </w:rPr>
      </w:pPr>
      <w:bookmarkStart w:id="80" w:name="bookmark126"/>
      <w:bookmarkEnd w:id="80"/>
      <w:r>
        <w:rPr>
          <w:rFonts w:ascii="Times New Roman" w:hAnsi="Times New Roman" w:eastAsia="Times New Roman" w:cs="Times New Roman"/>
          <w:b/>
          <w:bCs/>
          <w:spacing w:val="7"/>
          <w:sz w:val="27"/>
          <w:szCs w:val="27"/>
        </w:rPr>
        <w:t>4.</w:t>
      </w:r>
      <w:r>
        <w:rPr>
          <w:rFonts w:ascii="宋体" w:hAnsi="宋体" w:eastAsia="宋体" w:cs="宋体"/>
          <w:b/>
          <w:bCs/>
          <w:spacing w:val="7"/>
          <w:sz w:val="27"/>
          <w:szCs w:val="27"/>
        </w:rPr>
        <w:t>《硬泡聚氨酯保温防水工程技术规范》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7"/>
          <w:sz w:val="27"/>
          <w:szCs w:val="27"/>
        </w:rPr>
        <w:t>50404-2017</w:t>
      </w:r>
    </w:p>
    <w:p w14:paraId="2EBA3D40">
      <w:pPr>
        <w:spacing w:before="288" w:line="338" w:lineRule="auto"/>
        <w:ind w:left="9" w:hanging="4"/>
        <w:rPr>
          <w:rFonts w:ascii="宋体" w:hAnsi="宋体" w:eastAsia="宋体" w:cs="宋体"/>
          <w:sz w:val="24"/>
          <w:szCs w:val="24"/>
        </w:rPr>
      </w:pPr>
      <w:r>
        <w:rPr>
          <w:rFonts w:ascii="Times New Roman" w:hAnsi="Times New Roman" w:eastAsia="Times New Roman" w:cs="Times New Roman"/>
          <w:sz w:val="24"/>
          <w:szCs w:val="24"/>
        </w:rPr>
        <w:t xml:space="preserve">3.0.14    </w:t>
      </w:r>
      <w:r>
        <w:rPr>
          <w:rFonts w:ascii="宋体" w:hAnsi="宋体" w:eastAsia="宋体" w:cs="宋体"/>
          <w:sz w:val="24"/>
          <w:szCs w:val="24"/>
        </w:rPr>
        <w:t>硬泡聚氨酯保温防水工程应加强施工过程防火管理，</w:t>
      </w:r>
      <w:r>
        <w:rPr>
          <w:rFonts w:ascii="宋体" w:hAnsi="宋体" w:eastAsia="宋体" w:cs="宋体"/>
          <w:spacing w:val="-1"/>
          <w:sz w:val="24"/>
          <w:szCs w:val="24"/>
        </w:rPr>
        <w:t>严禁与其他施工工种同时</w:t>
      </w:r>
      <w:r>
        <w:rPr>
          <w:rFonts w:ascii="宋体" w:hAnsi="宋体" w:eastAsia="宋体" w:cs="宋体"/>
          <w:sz w:val="24"/>
          <w:szCs w:val="24"/>
        </w:rPr>
        <w:t xml:space="preserve"> </w:t>
      </w:r>
      <w:r>
        <w:rPr>
          <w:rFonts w:ascii="宋体" w:hAnsi="宋体" w:eastAsia="宋体" w:cs="宋体"/>
          <w:spacing w:val="-3"/>
          <w:sz w:val="24"/>
          <w:szCs w:val="24"/>
        </w:rPr>
        <w:t>交叉作业，当遇下列情况之一时，严禁电焊、切割等动火作业：</w:t>
      </w:r>
    </w:p>
    <w:p w14:paraId="643E9B3C">
      <w:pPr>
        <w:spacing w:before="1" w:line="218" w:lineRule="auto"/>
        <w:ind w:left="264"/>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硬泡聚氨酯材料进入施工现场过程中；</w:t>
      </w:r>
    </w:p>
    <w:p w14:paraId="281AF807">
      <w:pPr>
        <w:spacing w:before="155" w:line="220" w:lineRule="auto"/>
        <w:ind w:left="241"/>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硬泡聚氨酯保温层喷涂或安装施工过程中；</w:t>
      </w:r>
    </w:p>
    <w:p w14:paraId="21BF9C6C">
      <w:pPr>
        <w:spacing w:before="153" w:line="220" w:lineRule="auto"/>
        <w:ind w:left="245"/>
        <w:rPr>
          <w:rFonts w:ascii="宋体" w:hAnsi="宋体" w:eastAsia="宋体" w:cs="宋体"/>
          <w:sz w:val="24"/>
          <w:szCs w:val="24"/>
        </w:rPr>
      </w:pP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硬泡聚氨酯保温层未进行保护层施工前或无保护层保护时。</w:t>
      </w:r>
    </w:p>
    <w:p w14:paraId="5B756CB3">
      <w:pPr>
        <w:spacing w:before="155" w:line="341" w:lineRule="auto"/>
        <w:ind w:left="5" w:right="240"/>
        <w:rPr>
          <w:rFonts w:ascii="宋体" w:hAnsi="宋体" w:eastAsia="宋体" w:cs="宋体"/>
          <w:sz w:val="24"/>
          <w:szCs w:val="24"/>
        </w:rPr>
      </w:pPr>
      <w:r>
        <w:rPr>
          <w:rFonts w:ascii="Times New Roman" w:hAnsi="Times New Roman" w:eastAsia="Times New Roman" w:cs="Times New Roman"/>
          <w:sz w:val="24"/>
          <w:szCs w:val="24"/>
        </w:rPr>
        <w:t xml:space="preserve">3.0.15    </w:t>
      </w:r>
      <w:r>
        <w:rPr>
          <w:rFonts w:ascii="宋体" w:hAnsi="宋体" w:eastAsia="宋体" w:cs="宋体"/>
          <w:sz w:val="24"/>
          <w:szCs w:val="24"/>
        </w:rPr>
        <w:t>硬泡聚氨酯保温层上无可靠防火构造措施时，不得</w:t>
      </w:r>
      <w:r>
        <w:rPr>
          <w:rFonts w:ascii="宋体" w:hAnsi="宋体" w:eastAsia="宋体" w:cs="宋体"/>
          <w:spacing w:val="-1"/>
          <w:sz w:val="24"/>
          <w:szCs w:val="24"/>
        </w:rPr>
        <w:t>在其上进行防水材料的热</w:t>
      </w:r>
      <w:r>
        <w:rPr>
          <w:rFonts w:ascii="宋体" w:hAnsi="宋体" w:eastAsia="宋体" w:cs="宋体"/>
          <w:sz w:val="24"/>
          <w:szCs w:val="24"/>
        </w:rPr>
        <w:t xml:space="preserve"> </w:t>
      </w:r>
      <w:r>
        <w:rPr>
          <w:rFonts w:ascii="宋体" w:hAnsi="宋体" w:eastAsia="宋体" w:cs="宋体"/>
          <w:spacing w:val="-5"/>
          <w:sz w:val="24"/>
          <w:szCs w:val="24"/>
        </w:rPr>
        <w:t>熔、热粘结法施工。</w:t>
      </w:r>
    </w:p>
    <w:p w14:paraId="3ADB386C">
      <w:pPr>
        <w:spacing w:before="41" w:line="226" w:lineRule="auto"/>
        <w:ind w:left="5"/>
        <w:outlineLvl w:val="2"/>
        <w:rPr>
          <w:rFonts w:ascii="宋体" w:hAnsi="宋体" w:eastAsia="宋体" w:cs="宋体"/>
          <w:sz w:val="27"/>
          <w:szCs w:val="27"/>
        </w:rPr>
      </w:pPr>
      <w:bookmarkStart w:id="81" w:name="bookmark127"/>
      <w:bookmarkEnd w:id="81"/>
      <w:r>
        <w:rPr>
          <w:rFonts w:ascii="Times New Roman" w:hAnsi="Times New Roman" w:eastAsia="Times New Roman" w:cs="Times New Roman"/>
          <w:b/>
          <w:bCs/>
          <w:spacing w:val="6"/>
          <w:sz w:val="27"/>
          <w:szCs w:val="27"/>
        </w:rPr>
        <w:t>5.</w:t>
      </w:r>
      <w:r>
        <w:rPr>
          <w:rFonts w:ascii="宋体" w:hAnsi="宋体" w:eastAsia="宋体" w:cs="宋体"/>
          <w:b/>
          <w:bCs/>
          <w:spacing w:val="6"/>
          <w:sz w:val="27"/>
          <w:szCs w:val="27"/>
        </w:rPr>
        <w:t>《建筑节能工程施工质量验收标准》</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50411-2019</w:t>
      </w:r>
      <w:r>
        <w:rPr>
          <w:rFonts w:ascii="宋体" w:hAnsi="宋体" w:eastAsia="宋体" w:cs="宋体"/>
          <w:b/>
          <w:bCs/>
          <w:spacing w:val="6"/>
          <w:sz w:val="27"/>
          <w:szCs w:val="27"/>
        </w:rPr>
        <w:t>【部分强条已废】</w:t>
      </w:r>
    </w:p>
    <w:p w14:paraId="1B88220A">
      <w:pPr>
        <w:spacing w:before="286"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以下部分条目已被《</w:t>
      </w:r>
      <w:r>
        <w:rPr>
          <w:rFonts w:ascii="Times New Roman" w:hAnsi="Times New Roman" w:eastAsia="Times New Roman" w:cs="Times New Roman"/>
          <w:b/>
          <w:bCs/>
          <w:color w:val="0563C1"/>
          <w:spacing w:val="-2"/>
          <w:sz w:val="24"/>
          <w:szCs w:val="24"/>
          <w:u w:val="single" w:color="auto"/>
        </w:rPr>
        <w:t xml:space="preserve">GB55015-2021 </w:t>
      </w:r>
      <w:r>
        <w:rPr>
          <w:rFonts w:ascii="宋体" w:hAnsi="宋体" w:eastAsia="宋体" w:cs="宋体"/>
          <w:b/>
          <w:bCs/>
          <w:color w:val="0563C1"/>
          <w:spacing w:val="-2"/>
          <w:sz w:val="24"/>
          <w:szCs w:val="24"/>
          <w:u w:val="single" w:color="auto"/>
        </w:rPr>
        <w:t>建筑节能与可再生能源利用通用规范</w:t>
      </w:r>
      <w:r>
        <w:rPr>
          <w:rFonts w:ascii="宋体" w:hAnsi="宋体" w:eastAsia="宋体" w:cs="宋体"/>
          <w:b/>
          <w:bCs/>
          <w:color w:val="EE0000"/>
          <w:spacing w:val="-2"/>
          <w:sz w:val="24"/>
          <w:szCs w:val="24"/>
        </w:rPr>
        <w:t>》替代</w:t>
      </w:r>
    </w:p>
    <w:p w14:paraId="7C9C6CC9">
      <w:pPr>
        <w:spacing w:before="153" w:line="280" w:lineRule="auto"/>
        <w:ind w:left="13" w:right="120" w:hanging="8"/>
        <w:rPr>
          <w:rFonts w:ascii="宋体" w:hAnsi="宋体" w:eastAsia="宋体" w:cs="宋体"/>
          <w:sz w:val="24"/>
          <w:szCs w:val="24"/>
        </w:rPr>
      </w:pPr>
      <w:r>
        <w:rPr>
          <w:rFonts w:ascii="Times New Roman" w:hAnsi="Times New Roman" w:eastAsia="Times New Roman" w:cs="Times New Roman"/>
          <w:strike/>
          <w:sz w:val="24"/>
          <w:szCs w:val="24"/>
        </w:rPr>
        <w:t xml:space="preserve">3.1.2  </w:t>
      </w:r>
      <w:r>
        <w:rPr>
          <w:rFonts w:ascii="宋体" w:hAnsi="宋体" w:eastAsia="宋体" w:cs="宋体"/>
          <w:strike/>
          <w:sz w:val="24"/>
          <w:szCs w:val="24"/>
        </w:rPr>
        <w:t>当工程设计变更时， 建筑节能性能不得降低，且不得</w:t>
      </w:r>
      <w:r>
        <w:rPr>
          <w:rFonts w:ascii="宋体" w:hAnsi="宋体" w:eastAsia="宋体" w:cs="宋体"/>
          <w:strike/>
          <w:spacing w:val="-1"/>
          <w:sz w:val="24"/>
          <w:szCs w:val="24"/>
        </w:rPr>
        <w:t>低于国家现行有关建筑节</w:t>
      </w:r>
      <w:r>
        <w:rPr>
          <w:rFonts w:ascii="宋体" w:hAnsi="宋体" w:eastAsia="宋体" w:cs="宋体"/>
          <w:sz w:val="24"/>
          <w:szCs w:val="24"/>
        </w:rPr>
        <w:t xml:space="preserve"> </w:t>
      </w:r>
      <w:r>
        <w:rPr>
          <w:rFonts w:ascii="宋体" w:hAnsi="宋体" w:eastAsia="宋体" w:cs="宋体"/>
          <w:strike/>
          <w:spacing w:val="-2"/>
          <w:sz w:val="24"/>
          <w:szCs w:val="24"/>
        </w:rPr>
        <w:t>能设计标准的规定。</w:t>
      </w:r>
    </w:p>
    <w:p w14:paraId="6E5CF5F7">
      <w:pPr>
        <w:spacing w:before="153" w:line="279" w:lineRule="auto"/>
        <w:ind w:left="5" w:hanging="5"/>
        <w:rPr>
          <w:rFonts w:ascii="宋体" w:hAnsi="宋体" w:eastAsia="宋体" w:cs="宋体"/>
          <w:sz w:val="24"/>
          <w:szCs w:val="24"/>
        </w:rPr>
      </w:pPr>
      <w:r>
        <w:rPr>
          <w:rFonts w:ascii="Times New Roman" w:hAnsi="Times New Roman" w:eastAsia="Times New Roman" w:cs="Times New Roman"/>
          <w:strike/>
          <w:sz w:val="24"/>
          <w:szCs w:val="24"/>
        </w:rPr>
        <w:t xml:space="preserve">4.2.2  </w:t>
      </w:r>
      <w:r>
        <w:rPr>
          <w:rFonts w:ascii="宋体" w:hAnsi="宋体" w:eastAsia="宋体" w:cs="宋体"/>
          <w:strike/>
          <w:sz w:val="24"/>
          <w:szCs w:val="24"/>
        </w:rPr>
        <w:t>墙体节能工程使用的材料、产品进场时，应对其下列性能进行复验，</w:t>
      </w:r>
      <w:r>
        <w:rPr>
          <w:rFonts w:ascii="宋体" w:hAnsi="宋体" w:eastAsia="宋体" w:cs="宋体"/>
          <w:strike/>
          <w:spacing w:val="-1"/>
          <w:sz w:val="24"/>
          <w:szCs w:val="24"/>
        </w:rPr>
        <w:t>复验应为见</w:t>
      </w:r>
      <w:r>
        <w:rPr>
          <w:rFonts w:ascii="宋体" w:hAnsi="宋体" w:eastAsia="宋体" w:cs="宋体"/>
          <w:sz w:val="24"/>
          <w:szCs w:val="24"/>
        </w:rPr>
        <w:t xml:space="preserve"> </w:t>
      </w:r>
      <w:r>
        <w:rPr>
          <w:rFonts w:ascii="宋体" w:hAnsi="宋体" w:eastAsia="宋体" w:cs="宋体"/>
          <w:strike/>
          <w:spacing w:val="-2"/>
          <w:sz w:val="24"/>
          <w:szCs w:val="24"/>
        </w:rPr>
        <w:t>证取样检验：</w:t>
      </w:r>
    </w:p>
    <w:p w14:paraId="7C298246">
      <w:pPr>
        <w:spacing w:before="154" w:line="272" w:lineRule="auto"/>
        <w:ind w:left="5" w:right="120" w:firstLine="18"/>
        <w:rPr>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保温隔热材料的导热系数或热阻、密度、压缩强度或抗压强度、垂直于板面方向的</w:t>
      </w:r>
      <w:r>
        <w:rPr>
          <w:rFonts w:ascii="宋体" w:hAnsi="宋体" w:eastAsia="宋体" w:cs="宋体"/>
          <w:spacing w:val="9"/>
          <w:sz w:val="24"/>
          <w:szCs w:val="24"/>
        </w:rPr>
        <w:t xml:space="preserve"> </w:t>
      </w:r>
      <w:r>
        <w:rPr>
          <w:rFonts w:ascii="宋体" w:hAnsi="宋体" w:eastAsia="宋体" w:cs="宋体"/>
          <w:strike/>
          <w:spacing w:val="-1"/>
          <w:sz w:val="24"/>
          <w:szCs w:val="24"/>
        </w:rPr>
        <w:t>抗拉强度、吸水率、燃烧性能</w:t>
      </w:r>
      <w:r>
        <w:rPr>
          <w:rFonts w:ascii="Times New Roman" w:hAnsi="Times New Roman" w:eastAsia="Times New Roman" w:cs="Times New Roman"/>
          <w:strike/>
          <w:spacing w:val="-1"/>
          <w:position w:val="-1"/>
          <w:sz w:val="24"/>
          <w:szCs w:val="24"/>
        </w:rPr>
        <w:t>(</w:t>
      </w:r>
      <w:r>
        <w:rPr>
          <w:rFonts w:ascii="宋体" w:hAnsi="宋体" w:eastAsia="宋体" w:cs="宋体"/>
          <w:strike/>
          <w:spacing w:val="-1"/>
          <w:sz w:val="24"/>
          <w:szCs w:val="24"/>
        </w:rPr>
        <w:t>不燃材料除外</w:t>
      </w:r>
      <w:r>
        <w:rPr>
          <w:position w:val="-4"/>
          <w:sz w:val="24"/>
          <w:szCs w:val="24"/>
        </w:rPr>
        <w:drawing>
          <wp:inline distT="0" distB="0" distL="0" distR="0">
            <wp:extent cx="203200" cy="16319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88"/>
                    <a:stretch>
                      <a:fillRect/>
                    </a:stretch>
                  </pic:blipFill>
                  <pic:spPr>
                    <a:xfrm>
                      <a:off x="0" y="0"/>
                      <a:ext cx="203453" cy="163372"/>
                    </a:xfrm>
                    <a:prstGeom prst="rect">
                      <a:avLst/>
                    </a:prstGeom>
                  </pic:spPr>
                </pic:pic>
              </a:graphicData>
            </a:graphic>
          </wp:inline>
        </w:drawing>
      </w:r>
    </w:p>
    <w:p w14:paraId="0975E7FF">
      <w:pPr>
        <w:spacing w:before="172" w:line="272" w:lineRule="auto"/>
        <w:ind w:left="4" w:right="360" w:hanging="3"/>
        <w:rPr>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复合保温板等墙体节能定型产品的传热系数或热阻、单位面积质</w:t>
      </w:r>
      <w:r>
        <w:rPr>
          <w:rFonts w:ascii="宋体" w:hAnsi="宋体" w:eastAsia="宋体" w:cs="宋体"/>
          <w:strike/>
          <w:spacing w:val="-1"/>
          <w:sz w:val="24"/>
          <w:szCs w:val="24"/>
        </w:rPr>
        <w:t>量、拉伸粘结强</w:t>
      </w:r>
      <w:r>
        <w:rPr>
          <w:rFonts w:ascii="宋体" w:hAnsi="宋体" w:eastAsia="宋体" w:cs="宋体"/>
          <w:sz w:val="24"/>
          <w:szCs w:val="24"/>
        </w:rPr>
        <w:t xml:space="preserve"> </w:t>
      </w:r>
      <w:r>
        <w:rPr>
          <w:rFonts w:ascii="宋体" w:hAnsi="宋体" w:eastAsia="宋体" w:cs="宋体"/>
          <w:strike/>
          <w:spacing w:val="-1"/>
          <w:sz w:val="24"/>
          <w:szCs w:val="24"/>
        </w:rPr>
        <w:t>度、燃烧性能</w:t>
      </w:r>
      <w:r>
        <w:rPr>
          <w:rFonts w:ascii="Times New Roman" w:hAnsi="Times New Roman" w:eastAsia="Times New Roman" w:cs="Times New Roman"/>
          <w:strike/>
          <w:spacing w:val="-1"/>
          <w:position w:val="-1"/>
          <w:sz w:val="24"/>
          <w:szCs w:val="24"/>
        </w:rPr>
        <w:t>(</w:t>
      </w:r>
      <w:r>
        <w:rPr>
          <w:rFonts w:ascii="宋体" w:hAnsi="宋体" w:eastAsia="宋体" w:cs="宋体"/>
          <w:strike/>
          <w:spacing w:val="-1"/>
          <w:sz w:val="24"/>
          <w:szCs w:val="24"/>
        </w:rPr>
        <w:t>不燃材料除外</w:t>
      </w:r>
      <w:r>
        <w:rPr>
          <w:position w:val="-4"/>
          <w:sz w:val="24"/>
          <w:szCs w:val="24"/>
        </w:rPr>
        <w:drawing>
          <wp:inline distT="0" distB="0" distL="0" distR="0">
            <wp:extent cx="203200" cy="16319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9"/>
                    <a:stretch>
                      <a:fillRect/>
                    </a:stretch>
                  </pic:blipFill>
                  <pic:spPr>
                    <a:xfrm>
                      <a:off x="0" y="0"/>
                      <a:ext cx="203453" cy="163372"/>
                    </a:xfrm>
                    <a:prstGeom prst="rect">
                      <a:avLst/>
                    </a:prstGeom>
                  </pic:spPr>
                </pic:pic>
              </a:graphicData>
            </a:graphic>
          </wp:inline>
        </w:drawing>
      </w:r>
    </w:p>
    <w:p w14:paraId="7601BB55">
      <w:pPr>
        <w:spacing w:before="175"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保温砌块等墙体节能定型产品的传热系数或热</w:t>
      </w:r>
      <w:r>
        <w:rPr>
          <w:rFonts w:ascii="宋体" w:hAnsi="宋体" w:eastAsia="宋体" w:cs="宋体"/>
          <w:strike/>
          <w:spacing w:val="-1"/>
          <w:sz w:val="24"/>
          <w:szCs w:val="24"/>
        </w:rPr>
        <w:t>阻、抗压强度、吸水率；</w:t>
      </w:r>
    </w:p>
    <w:p w14:paraId="57B9B6F7">
      <w:pPr>
        <w:spacing w:line="219" w:lineRule="auto"/>
        <w:rPr>
          <w:rFonts w:ascii="宋体" w:hAnsi="宋体" w:eastAsia="宋体" w:cs="宋体"/>
          <w:sz w:val="24"/>
          <w:szCs w:val="24"/>
        </w:rPr>
        <w:sectPr>
          <w:footerReference r:id="rId60" w:type="default"/>
          <w:pgSz w:w="11907" w:h="16839"/>
          <w:pgMar w:top="400" w:right="1489" w:bottom="743" w:left="1421" w:header="0" w:footer="582" w:gutter="0"/>
          <w:cols w:space="720" w:num="1"/>
        </w:sectPr>
      </w:pPr>
    </w:p>
    <w:p w14:paraId="6C5559E3">
      <w:pPr>
        <w:pStyle w:val="2"/>
        <w:spacing w:line="303" w:lineRule="auto"/>
      </w:pPr>
    </w:p>
    <w:p w14:paraId="76530065">
      <w:pPr>
        <w:pStyle w:val="2"/>
        <w:spacing w:line="303" w:lineRule="auto"/>
      </w:pPr>
    </w:p>
    <w:p w14:paraId="46AE75C1">
      <w:pPr>
        <w:pStyle w:val="2"/>
        <w:spacing w:line="303" w:lineRule="auto"/>
      </w:pPr>
    </w:p>
    <w:p w14:paraId="059C5486">
      <w:pPr>
        <w:spacing w:before="78" w:line="219"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反射隔热材料的太阳光反射比，半球发射率；</w:t>
      </w:r>
    </w:p>
    <w:p w14:paraId="090B70CF">
      <w:pPr>
        <w:spacing w:before="155" w:line="219"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粘结材料的拉伸粘结强度；</w:t>
      </w:r>
    </w:p>
    <w:p w14:paraId="24B5D14A">
      <w:pPr>
        <w:spacing w:before="154" w:line="219"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6  </w:t>
      </w:r>
      <w:r>
        <w:rPr>
          <w:rFonts w:ascii="宋体" w:hAnsi="宋体" w:eastAsia="宋体" w:cs="宋体"/>
          <w:strike/>
          <w:spacing w:val="-1"/>
          <w:sz w:val="24"/>
          <w:szCs w:val="24"/>
        </w:rPr>
        <w:t>抹面材料的拉伸粘结强度、压折比；</w:t>
      </w:r>
    </w:p>
    <w:p w14:paraId="01D95178">
      <w:pPr>
        <w:spacing w:before="155"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7  </w:t>
      </w:r>
      <w:r>
        <w:rPr>
          <w:rFonts w:ascii="宋体" w:hAnsi="宋体" w:eastAsia="宋体" w:cs="宋体"/>
          <w:strike/>
          <w:spacing w:val="-1"/>
          <w:sz w:val="24"/>
          <w:szCs w:val="24"/>
        </w:rPr>
        <w:t>增强网的力学性能、抗腐蚀性能。</w:t>
      </w:r>
    </w:p>
    <w:p w14:paraId="050355D9">
      <w:pPr>
        <w:spacing w:before="156" w:line="298" w:lineRule="auto"/>
        <w:ind w:left="5" w:right="13" w:hanging="5"/>
        <w:rPr>
          <w:rFonts w:ascii="宋体" w:hAnsi="宋体" w:eastAsia="宋体" w:cs="宋体"/>
          <w:sz w:val="24"/>
          <w:szCs w:val="24"/>
        </w:rPr>
      </w:pPr>
      <w:r>
        <w:rPr>
          <w:rFonts w:ascii="Times New Roman" w:hAnsi="Times New Roman" w:eastAsia="Times New Roman" w:cs="Times New Roman"/>
          <w:strike/>
          <w:sz w:val="24"/>
          <w:szCs w:val="24"/>
        </w:rPr>
        <w:t xml:space="preserve">4.2.3  </w:t>
      </w:r>
      <w:r>
        <w:rPr>
          <w:rFonts w:ascii="宋体" w:hAnsi="宋体" w:eastAsia="宋体" w:cs="宋体"/>
          <w:strike/>
          <w:sz w:val="24"/>
          <w:szCs w:val="24"/>
        </w:rPr>
        <w:t>外墙外保温工程应采用预制构件、定型产品或成套技术，并应由同</w:t>
      </w:r>
      <w:r>
        <w:rPr>
          <w:rFonts w:ascii="宋体" w:hAnsi="宋体" w:eastAsia="宋体" w:cs="宋体"/>
          <w:sz w:val="24"/>
          <w:szCs w:val="24"/>
        </w:rPr>
        <w:t>一</w:t>
      </w:r>
      <w:r>
        <w:rPr>
          <w:rFonts w:ascii="宋体" w:hAnsi="宋体" w:eastAsia="宋体" w:cs="宋体"/>
          <w:strike/>
          <w:spacing w:val="-1"/>
          <w:sz w:val="24"/>
          <w:szCs w:val="24"/>
        </w:rPr>
        <w:t>供应商提供</w:t>
      </w:r>
      <w:r>
        <w:rPr>
          <w:rFonts w:ascii="宋体" w:hAnsi="宋体" w:eastAsia="宋体" w:cs="宋体"/>
          <w:sz w:val="24"/>
          <w:szCs w:val="24"/>
        </w:rPr>
        <w:t xml:space="preserve"> </w:t>
      </w:r>
      <w:r>
        <w:rPr>
          <w:rFonts w:ascii="宋体" w:hAnsi="宋体" w:eastAsia="宋体" w:cs="宋体"/>
          <w:strike/>
          <w:sz w:val="24"/>
          <w:szCs w:val="24"/>
        </w:rPr>
        <w:t>配套的组成材料和型式检验报告。型式检验报告中应包括耐</w:t>
      </w:r>
      <w:r>
        <w:rPr>
          <w:rFonts w:ascii="宋体" w:hAnsi="宋体" w:eastAsia="宋体" w:cs="宋体"/>
          <w:strike/>
          <w:spacing w:val="-1"/>
          <w:sz w:val="24"/>
          <w:szCs w:val="24"/>
        </w:rPr>
        <w:t>候性和抗风压性能检验项</w:t>
      </w:r>
      <w:r>
        <w:rPr>
          <w:rFonts w:ascii="宋体" w:hAnsi="宋体" w:eastAsia="宋体" w:cs="宋体"/>
          <w:sz w:val="24"/>
          <w:szCs w:val="24"/>
        </w:rPr>
        <w:t xml:space="preserve">  </w:t>
      </w:r>
      <w:r>
        <w:rPr>
          <w:rFonts w:ascii="宋体" w:hAnsi="宋体" w:eastAsia="宋体" w:cs="宋体"/>
          <w:strike/>
          <w:sz w:val="24"/>
          <w:szCs w:val="24"/>
        </w:rPr>
        <w:t>目以及配套组成材料的名称、生产单位、规</w:t>
      </w:r>
      <w:r>
        <w:rPr>
          <w:rFonts w:ascii="宋体" w:hAnsi="宋体" w:eastAsia="宋体" w:cs="宋体"/>
          <w:strike/>
          <w:spacing w:val="-1"/>
          <w:sz w:val="24"/>
          <w:szCs w:val="24"/>
        </w:rPr>
        <w:t>格型号及主要性能参数。</w:t>
      </w:r>
    </w:p>
    <w:p w14:paraId="2DAA9C03">
      <w:pPr>
        <w:spacing w:before="156"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4.2.7  </w:t>
      </w:r>
      <w:r>
        <w:rPr>
          <w:rFonts w:ascii="宋体" w:hAnsi="宋体" w:eastAsia="宋体" w:cs="宋体"/>
          <w:strike/>
          <w:sz w:val="24"/>
          <w:szCs w:val="24"/>
        </w:rPr>
        <w:t>墙体节能工程的施工质量，必须符合</w:t>
      </w:r>
      <w:r>
        <w:rPr>
          <w:rFonts w:ascii="宋体" w:hAnsi="宋体" w:eastAsia="宋体" w:cs="宋体"/>
          <w:strike/>
          <w:spacing w:val="-1"/>
          <w:sz w:val="24"/>
          <w:szCs w:val="24"/>
        </w:rPr>
        <w:t>下列规定：</w:t>
      </w:r>
    </w:p>
    <w:p w14:paraId="4935830B">
      <w:pPr>
        <w:spacing w:before="153" w:line="219" w:lineRule="auto"/>
        <w:ind w:left="24"/>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保温隔热材料的厚度不得低于设计要求。</w:t>
      </w:r>
    </w:p>
    <w:p w14:paraId="3BA055A5">
      <w:pPr>
        <w:spacing w:before="156" w:line="299" w:lineRule="auto"/>
        <w:ind w:left="4" w:right="133" w:hanging="3"/>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保温板材与基层之间及各构造层之间的粘结或连接必须牢固。保温</w:t>
      </w:r>
      <w:r>
        <w:rPr>
          <w:rFonts w:ascii="宋体" w:hAnsi="宋体" w:eastAsia="宋体" w:cs="宋体"/>
          <w:strike/>
          <w:spacing w:val="-1"/>
          <w:sz w:val="24"/>
          <w:szCs w:val="24"/>
        </w:rPr>
        <w:t>板材与基层的连</w:t>
      </w:r>
      <w:r>
        <w:rPr>
          <w:rFonts w:ascii="宋体" w:hAnsi="宋体" w:eastAsia="宋体" w:cs="宋体"/>
          <w:sz w:val="24"/>
          <w:szCs w:val="24"/>
        </w:rPr>
        <w:t xml:space="preserve"> </w:t>
      </w:r>
      <w:r>
        <w:rPr>
          <w:rFonts w:ascii="宋体" w:hAnsi="宋体" w:eastAsia="宋体" w:cs="宋体"/>
          <w:strike/>
          <w:sz w:val="24"/>
          <w:szCs w:val="24"/>
        </w:rPr>
        <w:t>接方式、拉伸粘结强度和粘结面积比应符合设计要求。保温板</w:t>
      </w:r>
      <w:r>
        <w:rPr>
          <w:rFonts w:ascii="宋体" w:hAnsi="宋体" w:eastAsia="宋体" w:cs="宋体"/>
          <w:strike/>
          <w:spacing w:val="-1"/>
          <w:sz w:val="24"/>
          <w:szCs w:val="24"/>
        </w:rPr>
        <w:t>材与基层之间的拉伸粘</w:t>
      </w:r>
      <w:r>
        <w:rPr>
          <w:rFonts w:ascii="宋体" w:hAnsi="宋体" w:eastAsia="宋体" w:cs="宋体"/>
          <w:sz w:val="24"/>
          <w:szCs w:val="24"/>
        </w:rPr>
        <w:t xml:space="preserve"> </w:t>
      </w:r>
      <w:r>
        <w:rPr>
          <w:rFonts w:ascii="宋体" w:hAnsi="宋体" w:eastAsia="宋体" w:cs="宋体"/>
          <w:strike/>
          <w:spacing w:val="-1"/>
          <w:sz w:val="24"/>
          <w:szCs w:val="24"/>
        </w:rPr>
        <w:t>结强度应进行现场拉拔试验，</w:t>
      </w:r>
    </w:p>
    <w:p w14:paraId="7C2CE0E4">
      <w:pPr>
        <w:spacing w:before="154" w:line="220" w:lineRule="auto"/>
        <w:ind w:left="5"/>
        <w:rPr>
          <w:rFonts w:ascii="宋体" w:hAnsi="宋体" w:eastAsia="宋体" w:cs="宋体"/>
          <w:sz w:val="24"/>
          <w:szCs w:val="24"/>
        </w:rPr>
      </w:pPr>
      <w:r>
        <w:rPr>
          <w:rFonts w:ascii="宋体" w:hAnsi="宋体" w:eastAsia="宋体" w:cs="宋体"/>
          <w:strike/>
          <w:spacing w:val="-1"/>
          <w:sz w:val="24"/>
          <w:szCs w:val="24"/>
        </w:rPr>
        <w:t>且不得在界面破坏。粘结面积比应进行剥离检验。</w:t>
      </w:r>
    </w:p>
    <w:p w14:paraId="62154442">
      <w:pPr>
        <w:spacing w:before="154" w:line="279"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当采用保温浆料做外保温时， 厚度大于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20mm</w:t>
      </w:r>
      <w:r>
        <w:rPr>
          <w:rFonts w:ascii="Times New Roman" w:hAnsi="Times New Roman" w:eastAsia="Times New Roman" w:cs="Times New Roman"/>
          <w:strike/>
          <w:spacing w:val="30"/>
          <w:sz w:val="24"/>
          <w:szCs w:val="24"/>
        </w:rPr>
        <w:t xml:space="preserve"> </w:t>
      </w:r>
      <w:r>
        <w:rPr>
          <w:rFonts w:ascii="宋体" w:hAnsi="宋体" w:eastAsia="宋体" w:cs="宋体"/>
          <w:strike/>
          <w:spacing w:val="-1"/>
          <w:sz w:val="24"/>
          <w:szCs w:val="24"/>
        </w:rPr>
        <w:t>的保温浆料应分层施工。</w:t>
      </w:r>
      <w:r>
        <w:rPr>
          <w:rFonts w:ascii="宋体" w:hAnsi="宋体" w:eastAsia="宋体" w:cs="宋体"/>
          <w:strike/>
          <w:spacing w:val="-2"/>
          <w:sz w:val="24"/>
          <w:szCs w:val="24"/>
        </w:rPr>
        <w:t>保温浆料与</w:t>
      </w:r>
      <w:r>
        <w:rPr>
          <w:rFonts w:ascii="宋体" w:hAnsi="宋体" w:eastAsia="宋体" w:cs="宋体"/>
          <w:sz w:val="24"/>
          <w:szCs w:val="24"/>
        </w:rPr>
        <w:t xml:space="preserve"> </w:t>
      </w:r>
      <w:r>
        <w:rPr>
          <w:rFonts w:ascii="宋体" w:hAnsi="宋体" w:eastAsia="宋体" w:cs="宋体"/>
          <w:strike/>
          <w:spacing w:val="-1"/>
          <w:sz w:val="24"/>
          <w:szCs w:val="24"/>
        </w:rPr>
        <w:t>基层之间及各层之间的粘结必须牢固，不应脱层、空鼓和开裂。</w:t>
      </w:r>
    </w:p>
    <w:p w14:paraId="1A46E51E">
      <w:pPr>
        <w:spacing w:before="154" w:line="299" w:lineRule="auto"/>
        <w:ind w:left="8" w:right="13" w:hanging="9"/>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当保温层采用锚固件固定时， 锚固件数量、位置、锚固深度、胶结材料</w:t>
      </w:r>
      <w:r>
        <w:rPr>
          <w:rFonts w:ascii="宋体" w:hAnsi="宋体" w:eastAsia="宋体" w:cs="宋体"/>
          <w:strike/>
          <w:spacing w:val="-1"/>
          <w:sz w:val="24"/>
          <w:szCs w:val="24"/>
        </w:rPr>
        <w:t>性能和锚固</w:t>
      </w:r>
      <w:r>
        <w:rPr>
          <w:rFonts w:ascii="宋体" w:hAnsi="宋体" w:eastAsia="宋体" w:cs="宋体"/>
          <w:sz w:val="24"/>
          <w:szCs w:val="24"/>
        </w:rPr>
        <w:t xml:space="preserve"> </w:t>
      </w:r>
      <w:r>
        <w:rPr>
          <w:rFonts w:ascii="宋体" w:hAnsi="宋体" w:eastAsia="宋体" w:cs="宋体"/>
          <w:strike/>
          <w:sz w:val="24"/>
          <w:szCs w:val="24"/>
        </w:rPr>
        <w:t>力应符合设计和施工方案的要求；保温装饰板的锚</w:t>
      </w:r>
      <w:r>
        <w:rPr>
          <w:rFonts w:ascii="宋体" w:hAnsi="宋体" w:eastAsia="宋体" w:cs="宋体"/>
          <w:strike/>
          <w:spacing w:val="-1"/>
          <w:sz w:val="24"/>
          <w:szCs w:val="24"/>
        </w:rPr>
        <w:t>固件应使其装饰面板可靠固定；锚</w:t>
      </w:r>
      <w:r>
        <w:rPr>
          <w:rFonts w:ascii="宋体" w:hAnsi="宋体" w:eastAsia="宋体" w:cs="宋体"/>
          <w:sz w:val="24"/>
          <w:szCs w:val="24"/>
        </w:rPr>
        <w:t xml:space="preserve">  </w:t>
      </w:r>
      <w:r>
        <w:rPr>
          <w:rFonts w:ascii="宋体" w:hAnsi="宋体" w:eastAsia="宋体" w:cs="宋体"/>
          <w:strike/>
          <w:spacing w:val="-2"/>
          <w:sz w:val="24"/>
          <w:szCs w:val="24"/>
        </w:rPr>
        <w:t>固力应做现场拉拔试验。</w:t>
      </w:r>
    </w:p>
    <w:p w14:paraId="585957E3">
      <w:pPr>
        <w:spacing w:before="154" w:line="332" w:lineRule="auto"/>
        <w:ind w:left="11" w:right="92" w:hanging="4"/>
        <w:rPr>
          <w:rFonts w:ascii="宋体" w:hAnsi="宋体" w:eastAsia="宋体" w:cs="宋体"/>
          <w:sz w:val="24"/>
          <w:szCs w:val="24"/>
        </w:rPr>
      </w:pPr>
      <w:r>
        <w:rPr>
          <w:rFonts w:ascii="Times New Roman" w:hAnsi="Times New Roman" w:eastAsia="Times New Roman" w:cs="Times New Roman"/>
          <w:strike/>
          <w:sz w:val="24"/>
          <w:szCs w:val="24"/>
        </w:rPr>
        <w:t xml:space="preserve">5.2.2  </w:t>
      </w:r>
      <w:r>
        <w:rPr>
          <w:rFonts w:ascii="宋体" w:hAnsi="宋体" w:eastAsia="宋体" w:cs="宋体"/>
          <w:strike/>
          <w:sz w:val="24"/>
          <w:szCs w:val="24"/>
        </w:rPr>
        <w:t>幕墙</w:t>
      </w:r>
      <w:r>
        <w:rPr>
          <w:rFonts w:ascii="Times New Roman" w:hAnsi="Times New Roman" w:eastAsia="Times New Roman" w:cs="Times New Roman"/>
          <w:strike/>
          <w:sz w:val="24"/>
          <w:szCs w:val="24"/>
        </w:rPr>
        <w:t>(</w:t>
      </w:r>
      <w:r>
        <w:rPr>
          <w:rFonts w:ascii="宋体" w:hAnsi="宋体" w:eastAsia="宋体" w:cs="宋体"/>
          <w:strike/>
          <w:sz w:val="24"/>
          <w:szCs w:val="24"/>
        </w:rPr>
        <w:t>含采光顶</w:t>
      </w:r>
      <w:r>
        <w:rPr>
          <w:rFonts w:ascii="Times New Roman" w:hAnsi="Times New Roman" w:eastAsia="Times New Roman" w:cs="Times New Roman"/>
          <w:strike/>
          <w:sz w:val="24"/>
          <w:szCs w:val="24"/>
        </w:rPr>
        <w:t>)</w:t>
      </w:r>
      <w:r>
        <w:rPr>
          <w:rFonts w:ascii="宋体" w:hAnsi="宋体" w:eastAsia="宋体" w:cs="宋体"/>
          <w:strike/>
          <w:sz w:val="24"/>
          <w:szCs w:val="24"/>
        </w:rPr>
        <w:t>节能工程使用的材料、构件进场时，</w:t>
      </w:r>
      <w:r>
        <w:rPr>
          <w:rFonts w:ascii="宋体" w:hAnsi="宋体" w:eastAsia="宋体" w:cs="宋体"/>
          <w:strike/>
          <w:spacing w:val="-1"/>
          <w:sz w:val="24"/>
          <w:szCs w:val="24"/>
        </w:rPr>
        <w:t>应对其下列性能进行复验，</w:t>
      </w:r>
      <w:r>
        <w:rPr>
          <w:rFonts w:ascii="宋体" w:hAnsi="宋体" w:eastAsia="宋体" w:cs="宋体"/>
          <w:sz w:val="24"/>
          <w:szCs w:val="24"/>
        </w:rPr>
        <w:t xml:space="preserve"> </w:t>
      </w:r>
      <w:r>
        <w:rPr>
          <w:rFonts w:ascii="宋体" w:hAnsi="宋体" w:eastAsia="宋体" w:cs="宋体"/>
          <w:strike/>
          <w:spacing w:val="-2"/>
          <w:sz w:val="24"/>
          <w:szCs w:val="24"/>
        </w:rPr>
        <w:t>复验应为见证取样检验：</w:t>
      </w:r>
    </w:p>
    <w:p w14:paraId="68A589F3">
      <w:pPr>
        <w:spacing w:before="18" w:line="204" w:lineRule="auto"/>
        <w:ind w:left="24"/>
        <w:rPr>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保温隔热材料的导热系数或热阻、密度、吸水率、燃烧性能</w:t>
      </w:r>
      <w:r>
        <w:rPr>
          <w:rFonts w:ascii="Times New Roman" w:hAnsi="Times New Roman" w:eastAsia="Times New Roman" w:cs="Times New Roman"/>
          <w:strike/>
          <w:spacing w:val="-1"/>
          <w:position w:val="-1"/>
          <w:sz w:val="24"/>
          <w:szCs w:val="24"/>
        </w:rPr>
        <w:t>(</w:t>
      </w:r>
      <w:r>
        <w:rPr>
          <w:rFonts w:ascii="宋体" w:hAnsi="宋体" w:eastAsia="宋体" w:cs="宋体"/>
          <w:strike/>
          <w:spacing w:val="-1"/>
          <w:sz w:val="24"/>
          <w:szCs w:val="24"/>
        </w:rPr>
        <w:t>不燃材料除外</w:t>
      </w:r>
      <w:r>
        <w:rPr>
          <w:position w:val="-4"/>
          <w:sz w:val="24"/>
          <w:szCs w:val="24"/>
        </w:rPr>
        <w:drawing>
          <wp:inline distT="0" distB="0" distL="0" distR="0">
            <wp:extent cx="203200" cy="16319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90"/>
                    <a:stretch>
                      <a:fillRect/>
                    </a:stretch>
                  </pic:blipFill>
                  <pic:spPr>
                    <a:xfrm>
                      <a:off x="0" y="0"/>
                      <a:ext cx="203453" cy="163372"/>
                    </a:xfrm>
                    <a:prstGeom prst="rect">
                      <a:avLst/>
                    </a:prstGeom>
                  </pic:spPr>
                </pic:pic>
              </a:graphicData>
            </a:graphic>
          </wp:inline>
        </w:drawing>
      </w:r>
    </w:p>
    <w:p w14:paraId="6C47B35D">
      <w:pPr>
        <w:spacing w:before="174" w:line="219"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幕墙玻璃的可见光透射比、传热系数、遮阳系数，中空玻璃</w:t>
      </w:r>
      <w:r>
        <w:rPr>
          <w:rFonts w:ascii="宋体" w:hAnsi="宋体" w:eastAsia="宋体" w:cs="宋体"/>
          <w:strike/>
          <w:spacing w:val="-1"/>
          <w:sz w:val="24"/>
          <w:szCs w:val="24"/>
        </w:rPr>
        <w:t>的密封性能；</w:t>
      </w:r>
    </w:p>
    <w:p w14:paraId="3EE9BDEB">
      <w:pPr>
        <w:spacing w:before="156" w:line="219"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隔热型材的抗拉强度、抗剪强度；</w:t>
      </w:r>
    </w:p>
    <w:p w14:paraId="459294B5">
      <w:pPr>
        <w:spacing w:before="154"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透光、半透光遮阳材料的太阳光透射比、太阳</w:t>
      </w:r>
      <w:r>
        <w:rPr>
          <w:rFonts w:ascii="宋体" w:hAnsi="宋体" w:eastAsia="宋体" w:cs="宋体"/>
          <w:strike/>
          <w:spacing w:val="-1"/>
          <w:sz w:val="24"/>
          <w:szCs w:val="24"/>
        </w:rPr>
        <w:t>光反射比。</w:t>
      </w:r>
    </w:p>
    <w:p w14:paraId="35FC2D76">
      <w:pPr>
        <w:spacing w:before="156" w:line="337" w:lineRule="auto"/>
        <w:ind w:left="6" w:right="92"/>
        <w:jc w:val="both"/>
        <w:rPr>
          <w:rFonts w:ascii="宋体" w:hAnsi="宋体" w:eastAsia="宋体" w:cs="宋体"/>
          <w:sz w:val="24"/>
          <w:szCs w:val="24"/>
        </w:rPr>
      </w:pPr>
      <w:r>
        <w:rPr>
          <w:rFonts w:ascii="Times New Roman" w:hAnsi="Times New Roman" w:eastAsia="Times New Roman" w:cs="Times New Roman"/>
          <w:strike/>
          <w:spacing w:val="-1"/>
          <w:sz w:val="24"/>
          <w:szCs w:val="24"/>
        </w:rPr>
        <w:t>6.2.2</w:t>
      </w:r>
      <w:r>
        <w:rPr>
          <w:rFonts w:ascii="Times New Roman" w:hAnsi="Times New Roman" w:eastAsia="Times New Roman" w:cs="Times New Roman"/>
          <w:strike/>
          <w:spacing w:val="18"/>
          <w:sz w:val="24"/>
          <w:szCs w:val="24"/>
        </w:rPr>
        <w:t xml:space="preserve">  </w:t>
      </w:r>
      <w:r>
        <w:rPr>
          <w:rFonts w:ascii="宋体" w:hAnsi="宋体" w:eastAsia="宋体" w:cs="宋体"/>
          <w:strike/>
          <w:spacing w:val="-1"/>
          <w:sz w:val="24"/>
          <w:szCs w:val="24"/>
        </w:rPr>
        <w:t>门窗</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包括天窗</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节能工程使用的材料、构件进场时，应按工程所处</w:t>
      </w:r>
      <w:r>
        <w:rPr>
          <w:rFonts w:ascii="宋体" w:hAnsi="宋体" w:eastAsia="宋体" w:cs="宋体"/>
          <w:strike/>
          <w:spacing w:val="-2"/>
          <w:sz w:val="24"/>
          <w:szCs w:val="24"/>
        </w:rPr>
        <w:t>的气候区核查</w:t>
      </w:r>
      <w:r>
        <w:rPr>
          <w:rFonts w:ascii="宋体" w:hAnsi="宋体" w:eastAsia="宋体" w:cs="宋体"/>
          <w:sz w:val="24"/>
          <w:szCs w:val="24"/>
        </w:rPr>
        <w:t xml:space="preserve"> </w:t>
      </w:r>
      <w:r>
        <w:rPr>
          <w:rFonts w:ascii="宋体" w:hAnsi="宋体" w:eastAsia="宋体" w:cs="宋体"/>
          <w:strike/>
          <w:sz w:val="24"/>
          <w:szCs w:val="24"/>
        </w:rPr>
        <w:t>质量证明文件、节能性能标识证书、门窗节能性能计算书</w:t>
      </w:r>
      <w:r>
        <w:rPr>
          <w:rFonts w:ascii="宋体" w:hAnsi="宋体" w:eastAsia="宋体" w:cs="宋体"/>
          <w:strike/>
          <w:spacing w:val="-1"/>
          <w:sz w:val="24"/>
          <w:szCs w:val="24"/>
        </w:rPr>
        <w:t>、复验报告，并应对下列性</w:t>
      </w:r>
      <w:r>
        <w:rPr>
          <w:rFonts w:ascii="宋体" w:hAnsi="宋体" w:eastAsia="宋体" w:cs="宋体"/>
          <w:sz w:val="24"/>
          <w:szCs w:val="24"/>
        </w:rPr>
        <w:t xml:space="preserve"> </w:t>
      </w:r>
      <w:r>
        <w:rPr>
          <w:rFonts w:ascii="宋体" w:hAnsi="宋体" w:eastAsia="宋体" w:cs="宋体"/>
          <w:strike/>
          <w:spacing w:val="-1"/>
          <w:sz w:val="24"/>
          <w:szCs w:val="24"/>
        </w:rPr>
        <w:t>能进行复验，复验应为见证取样检验：</w:t>
      </w:r>
    </w:p>
    <w:p w14:paraId="2F406DED">
      <w:pPr>
        <w:spacing w:before="6" w:line="219" w:lineRule="auto"/>
        <w:ind w:left="2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严寒、寒冷地区：门窗的传热系数、</w:t>
      </w:r>
      <w:r>
        <w:rPr>
          <w:rFonts w:ascii="宋体" w:hAnsi="宋体" w:eastAsia="宋体" w:cs="宋体"/>
          <w:strike/>
          <w:spacing w:val="-2"/>
          <w:sz w:val="24"/>
          <w:szCs w:val="24"/>
        </w:rPr>
        <w:t>气密性能；</w:t>
      </w:r>
    </w:p>
    <w:p w14:paraId="6D5FE25F">
      <w:pPr>
        <w:spacing w:before="155" w:line="219"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夏热冬冷地区：门窗的传热系数气密性能，玻璃的遮阳系数、可</w:t>
      </w:r>
      <w:r>
        <w:rPr>
          <w:rFonts w:ascii="宋体" w:hAnsi="宋体" w:eastAsia="宋体" w:cs="宋体"/>
          <w:strike/>
          <w:spacing w:val="-1"/>
          <w:sz w:val="24"/>
          <w:szCs w:val="24"/>
        </w:rPr>
        <w:t>见光透射比；</w:t>
      </w:r>
    </w:p>
    <w:p w14:paraId="731B0AD6">
      <w:pPr>
        <w:spacing w:before="155" w:line="220"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夏热冬暖地区：门窗的气密性能，玻璃的遮</w:t>
      </w:r>
      <w:r>
        <w:rPr>
          <w:rFonts w:ascii="宋体" w:hAnsi="宋体" w:eastAsia="宋体" w:cs="宋体"/>
          <w:strike/>
          <w:spacing w:val="-1"/>
          <w:sz w:val="24"/>
          <w:szCs w:val="24"/>
        </w:rPr>
        <w:t>阳系数、可见光透射比；</w:t>
      </w:r>
    </w:p>
    <w:p w14:paraId="725C8D82">
      <w:pPr>
        <w:spacing w:before="155" w:line="279" w:lineRule="auto"/>
        <w:ind w:left="30" w:right="373" w:hanging="31"/>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严寒、寒冷、夏热冬冷和夏热冬暖地区：透光、部分透光遮阳材料的</w:t>
      </w:r>
      <w:r>
        <w:rPr>
          <w:rFonts w:ascii="宋体" w:hAnsi="宋体" w:eastAsia="宋体" w:cs="宋体"/>
          <w:strike/>
          <w:spacing w:val="-1"/>
          <w:sz w:val="24"/>
          <w:szCs w:val="24"/>
        </w:rPr>
        <w:t>太阳光透射</w:t>
      </w:r>
      <w:r>
        <w:rPr>
          <w:rFonts w:ascii="宋体" w:hAnsi="宋体" w:eastAsia="宋体" w:cs="宋体"/>
          <w:sz w:val="24"/>
          <w:szCs w:val="24"/>
        </w:rPr>
        <w:t xml:space="preserve"> </w:t>
      </w:r>
      <w:r>
        <w:rPr>
          <w:rFonts w:ascii="宋体" w:hAnsi="宋体" w:eastAsia="宋体" w:cs="宋体"/>
          <w:strike/>
          <w:spacing w:val="-2"/>
          <w:sz w:val="24"/>
          <w:szCs w:val="24"/>
        </w:rPr>
        <w:t>比、太阳光反射比，中空玻璃的密封性能。</w:t>
      </w:r>
    </w:p>
    <w:p w14:paraId="671C887B">
      <w:pPr>
        <w:spacing w:line="279" w:lineRule="auto"/>
        <w:rPr>
          <w:rFonts w:ascii="宋体" w:hAnsi="宋体" w:eastAsia="宋体" w:cs="宋体"/>
          <w:sz w:val="24"/>
          <w:szCs w:val="24"/>
        </w:rPr>
        <w:sectPr>
          <w:footerReference r:id="rId61" w:type="default"/>
          <w:pgSz w:w="11907" w:h="16839"/>
          <w:pgMar w:top="400" w:right="1475" w:bottom="743" w:left="1421" w:header="0" w:footer="582" w:gutter="0"/>
          <w:cols w:space="720" w:num="1"/>
        </w:sectPr>
      </w:pPr>
    </w:p>
    <w:p w14:paraId="2AC2C351">
      <w:pPr>
        <w:pStyle w:val="2"/>
        <w:spacing w:line="303" w:lineRule="auto"/>
      </w:pPr>
    </w:p>
    <w:p w14:paraId="7897F81C">
      <w:pPr>
        <w:pStyle w:val="2"/>
        <w:spacing w:line="303" w:lineRule="auto"/>
      </w:pPr>
    </w:p>
    <w:p w14:paraId="710C7EE7">
      <w:pPr>
        <w:pStyle w:val="2"/>
        <w:spacing w:line="304" w:lineRule="auto"/>
      </w:pPr>
    </w:p>
    <w:p w14:paraId="16A58D75">
      <w:pPr>
        <w:spacing w:before="78" w:line="338" w:lineRule="auto"/>
        <w:ind w:left="5" w:right="40"/>
        <w:rPr>
          <w:rFonts w:ascii="宋体" w:hAnsi="宋体" w:eastAsia="宋体" w:cs="宋体"/>
          <w:sz w:val="24"/>
          <w:szCs w:val="24"/>
        </w:rPr>
      </w:pPr>
      <w:r>
        <w:rPr>
          <w:rFonts w:ascii="Times New Roman" w:hAnsi="Times New Roman" w:eastAsia="Times New Roman" w:cs="Times New Roman"/>
          <w:strike/>
          <w:sz w:val="24"/>
          <w:szCs w:val="24"/>
        </w:rPr>
        <w:t xml:space="preserve">7.2.2  </w:t>
      </w:r>
      <w:r>
        <w:rPr>
          <w:rFonts w:ascii="宋体" w:hAnsi="宋体" w:eastAsia="宋体" w:cs="宋体"/>
          <w:strike/>
          <w:sz w:val="24"/>
          <w:szCs w:val="24"/>
        </w:rPr>
        <w:t>屋面节能工程使用的材料进场时，应对其下列性能进行复</w:t>
      </w:r>
      <w:r>
        <w:rPr>
          <w:rFonts w:ascii="宋体" w:hAnsi="宋体" w:eastAsia="宋体" w:cs="宋体"/>
          <w:strike/>
          <w:spacing w:val="-1"/>
          <w:sz w:val="24"/>
          <w:szCs w:val="24"/>
        </w:rPr>
        <w:t>验，复验应为见证取样</w:t>
      </w:r>
      <w:r>
        <w:rPr>
          <w:rFonts w:ascii="宋体" w:hAnsi="宋体" w:eastAsia="宋体" w:cs="宋体"/>
          <w:sz w:val="24"/>
          <w:szCs w:val="24"/>
        </w:rPr>
        <w:t xml:space="preserve"> </w:t>
      </w:r>
      <w:r>
        <w:rPr>
          <w:rFonts w:ascii="宋体" w:hAnsi="宋体" w:eastAsia="宋体" w:cs="宋体"/>
          <w:strike/>
          <w:spacing w:val="-3"/>
          <w:sz w:val="24"/>
          <w:szCs w:val="24"/>
        </w:rPr>
        <w:t>检验：</w:t>
      </w:r>
    </w:p>
    <w:p w14:paraId="47BE8763">
      <w:pPr>
        <w:spacing w:before="1" w:line="271" w:lineRule="auto"/>
        <w:ind w:left="5" w:right="160" w:firstLine="18"/>
        <w:rPr>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保温隔热材料的导热系数或热阻、密度、压缩强度或抗压强度、吸水率、燃烧性能</w:t>
      </w:r>
      <w:r>
        <w:rPr>
          <w:rFonts w:ascii="宋体" w:hAnsi="宋体" w:eastAsia="宋体" w:cs="宋体"/>
          <w:spacing w:val="9"/>
          <w:sz w:val="24"/>
          <w:szCs w:val="24"/>
        </w:rPr>
        <w:t xml:space="preserve"> </w:t>
      </w:r>
      <w:r>
        <w:rPr>
          <w:rFonts w:ascii="Times New Roman" w:hAnsi="Times New Roman" w:eastAsia="Times New Roman" w:cs="Times New Roman"/>
          <w:strike/>
          <w:spacing w:val="-4"/>
          <w:position w:val="-1"/>
          <w:sz w:val="24"/>
          <w:szCs w:val="24"/>
        </w:rPr>
        <w:t>(</w:t>
      </w:r>
      <w:r>
        <w:rPr>
          <w:rFonts w:ascii="Times New Roman" w:hAnsi="Times New Roman" w:eastAsia="Times New Roman" w:cs="Times New Roman"/>
          <w:strike/>
          <w:spacing w:val="8"/>
          <w:position w:val="-1"/>
          <w:sz w:val="24"/>
          <w:szCs w:val="24"/>
        </w:rPr>
        <w:t xml:space="preserve">  </w:t>
      </w:r>
      <w:r>
        <w:rPr>
          <w:rFonts w:ascii="宋体" w:hAnsi="宋体" w:eastAsia="宋体" w:cs="宋体"/>
          <w:strike/>
          <w:spacing w:val="-4"/>
          <w:sz w:val="24"/>
          <w:szCs w:val="24"/>
        </w:rPr>
        <w:t>不燃材料除外</w:t>
      </w:r>
      <w:r>
        <w:rPr>
          <w:position w:val="-4"/>
          <w:sz w:val="24"/>
          <w:szCs w:val="24"/>
        </w:rPr>
        <w:drawing>
          <wp:inline distT="0" distB="0" distL="0" distR="0">
            <wp:extent cx="203200" cy="16319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91"/>
                    <a:stretch>
                      <a:fillRect/>
                    </a:stretch>
                  </pic:blipFill>
                  <pic:spPr>
                    <a:xfrm>
                      <a:off x="0" y="0"/>
                      <a:ext cx="203466" cy="163372"/>
                    </a:xfrm>
                    <a:prstGeom prst="rect">
                      <a:avLst/>
                    </a:prstGeom>
                  </pic:spPr>
                </pic:pic>
              </a:graphicData>
            </a:graphic>
          </wp:inline>
        </w:drawing>
      </w:r>
    </w:p>
    <w:p w14:paraId="4736FE58">
      <w:pPr>
        <w:spacing w:before="174" w:line="219"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反射隔热材料的太阳光反射比、半球发射率。</w:t>
      </w:r>
    </w:p>
    <w:p w14:paraId="5CADBE16">
      <w:pPr>
        <w:spacing w:before="153" w:line="301" w:lineRule="auto"/>
        <w:ind w:left="4" w:firstLine="6"/>
        <w:rPr>
          <w:rFonts w:ascii="宋体" w:hAnsi="宋体" w:eastAsia="宋体" w:cs="宋体"/>
          <w:sz w:val="24"/>
          <w:szCs w:val="24"/>
        </w:rPr>
      </w:pPr>
      <w:r>
        <w:rPr>
          <w:rFonts w:ascii="Times New Roman" w:hAnsi="Times New Roman" w:eastAsia="Times New Roman" w:cs="Times New Roman"/>
          <w:strike/>
          <w:sz w:val="24"/>
          <w:szCs w:val="24"/>
        </w:rPr>
        <w:t xml:space="preserve">8.2.2  </w:t>
      </w:r>
      <w:r>
        <w:rPr>
          <w:rFonts w:ascii="宋体" w:hAnsi="宋体" w:eastAsia="宋体" w:cs="宋体"/>
          <w:strike/>
          <w:sz w:val="24"/>
          <w:szCs w:val="24"/>
        </w:rPr>
        <w:t>地面节能工程使用的保温材料进场时，应对</w:t>
      </w:r>
      <w:r>
        <w:rPr>
          <w:rFonts w:ascii="宋体" w:hAnsi="宋体" w:eastAsia="宋体" w:cs="宋体"/>
          <w:strike/>
          <w:spacing w:val="-1"/>
          <w:sz w:val="24"/>
          <w:szCs w:val="24"/>
        </w:rPr>
        <w:t>其导热系数或热阻、密度、压缩强度</w:t>
      </w:r>
      <w:r>
        <w:rPr>
          <w:rFonts w:ascii="宋体" w:hAnsi="宋体" w:eastAsia="宋体" w:cs="宋体"/>
          <w:sz w:val="24"/>
          <w:szCs w:val="24"/>
        </w:rPr>
        <w:t xml:space="preserve"> </w:t>
      </w:r>
      <w:r>
        <w:rPr>
          <w:rFonts w:ascii="宋体" w:hAnsi="宋体" w:eastAsia="宋体" w:cs="宋体"/>
          <w:strike/>
          <w:sz w:val="24"/>
          <w:szCs w:val="24"/>
        </w:rPr>
        <w:t>或抗压强度、吸水率、燃烧性能</w:t>
      </w:r>
      <w:r>
        <w:rPr>
          <w:rFonts w:ascii="Times New Roman" w:hAnsi="Times New Roman" w:eastAsia="Times New Roman" w:cs="Times New Roman"/>
          <w:strike/>
          <w:sz w:val="24"/>
          <w:szCs w:val="24"/>
        </w:rPr>
        <w:t>(</w:t>
      </w:r>
      <w:r>
        <w:rPr>
          <w:rFonts w:ascii="宋体" w:hAnsi="宋体" w:eastAsia="宋体" w:cs="宋体"/>
          <w:strike/>
          <w:sz w:val="24"/>
          <w:szCs w:val="24"/>
        </w:rPr>
        <w:t>不燃材料除外</w:t>
      </w:r>
      <w:r>
        <w:rPr>
          <w:rFonts w:ascii="Times New Roman" w:hAnsi="Times New Roman" w:eastAsia="Times New Roman" w:cs="Times New Roman"/>
          <w:strike/>
          <w:sz w:val="24"/>
          <w:szCs w:val="24"/>
        </w:rPr>
        <w:t>)</w:t>
      </w:r>
      <w:r>
        <w:rPr>
          <w:rFonts w:ascii="宋体" w:hAnsi="宋体" w:eastAsia="宋体" w:cs="宋体"/>
          <w:strike/>
          <w:sz w:val="24"/>
          <w:szCs w:val="24"/>
        </w:rPr>
        <w:t>等性能进行复验，</w:t>
      </w:r>
      <w:r>
        <w:rPr>
          <w:rFonts w:ascii="宋体" w:hAnsi="宋体" w:eastAsia="宋体" w:cs="宋体"/>
          <w:strike/>
          <w:spacing w:val="-1"/>
          <w:sz w:val="24"/>
          <w:szCs w:val="24"/>
        </w:rPr>
        <w:t>复验应为见证取样检</w:t>
      </w:r>
      <w:r>
        <w:rPr>
          <w:rFonts w:ascii="宋体" w:hAnsi="宋体" w:eastAsia="宋体" w:cs="宋体"/>
          <w:sz w:val="24"/>
          <w:szCs w:val="24"/>
        </w:rPr>
        <w:t xml:space="preserve"> </w:t>
      </w:r>
      <w:r>
        <w:rPr>
          <w:rFonts w:ascii="宋体" w:hAnsi="宋体" w:eastAsia="宋体" w:cs="宋体"/>
          <w:strike/>
          <w:spacing w:val="-3"/>
          <w:sz w:val="24"/>
          <w:szCs w:val="24"/>
        </w:rPr>
        <w:t>验。</w:t>
      </w:r>
    </w:p>
    <w:p w14:paraId="0B3FC50A">
      <w:pPr>
        <w:pStyle w:val="2"/>
        <w:spacing w:line="253" w:lineRule="auto"/>
      </w:pPr>
    </w:p>
    <w:p w14:paraId="28C90CA2">
      <w:pPr>
        <w:pStyle w:val="2"/>
        <w:spacing w:line="253" w:lineRule="auto"/>
      </w:pPr>
    </w:p>
    <w:p w14:paraId="2BA90ECD">
      <w:pPr>
        <w:spacing w:before="79" w:line="279" w:lineRule="auto"/>
        <w:ind w:left="5" w:right="40"/>
        <w:rPr>
          <w:rFonts w:ascii="宋体" w:hAnsi="宋体" w:eastAsia="宋体" w:cs="宋体"/>
          <w:sz w:val="24"/>
          <w:szCs w:val="24"/>
        </w:rPr>
      </w:pPr>
      <w:r>
        <w:rPr>
          <w:rFonts w:ascii="Times New Roman" w:hAnsi="Times New Roman" w:eastAsia="Times New Roman" w:cs="Times New Roman"/>
          <w:strike/>
          <w:sz w:val="24"/>
          <w:szCs w:val="24"/>
        </w:rPr>
        <w:t xml:space="preserve">9.2.2  </w:t>
      </w:r>
      <w:r>
        <w:rPr>
          <w:rFonts w:ascii="宋体" w:hAnsi="宋体" w:eastAsia="宋体" w:cs="宋体"/>
          <w:strike/>
          <w:sz w:val="24"/>
          <w:szCs w:val="24"/>
        </w:rPr>
        <w:t>供暖节能工程使用的散热器和保温材料进场时，应对其</w:t>
      </w:r>
      <w:r>
        <w:rPr>
          <w:rFonts w:ascii="宋体" w:hAnsi="宋体" w:eastAsia="宋体" w:cs="宋体"/>
          <w:strike/>
          <w:spacing w:val="-1"/>
          <w:sz w:val="24"/>
          <w:szCs w:val="24"/>
        </w:rPr>
        <w:t>下列性能进行复验，复验</w:t>
      </w:r>
      <w:r>
        <w:rPr>
          <w:rFonts w:ascii="宋体" w:hAnsi="宋体" w:eastAsia="宋体" w:cs="宋体"/>
          <w:sz w:val="24"/>
          <w:szCs w:val="24"/>
        </w:rPr>
        <w:t xml:space="preserve"> </w:t>
      </w:r>
      <w:r>
        <w:rPr>
          <w:rFonts w:ascii="宋体" w:hAnsi="宋体" w:eastAsia="宋体" w:cs="宋体"/>
          <w:strike/>
          <w:spacing w:val="-1"/>
          <w:sz w:val="24"/>
          <w:szCs w:val="24"/>
        </w:rPr>
        <w:t>应为见证取样检验：</w:t>
      </w:r>
    </w:p>
    <w:p w14:paraId="2F20FE51">
      <w:pPr>
        <w:spacing w:before="153" w:line="220" w:lineRule="auto"/>
        <w:ind w:left="24"/>
        <w:rPr>
          <w:rFonts w:ascii="宋体" w:hAnsi="宋体" w:eastAsia="宋体" w:cs="宋体"/>
          <w:sz w:val="24"/>
          <w:szCs w:val="24"/>
        </w:rPr>
      </w:pP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散热器的单位散热量、金属热强度；</w:t>
      </w:r>
    </w:p>
    <w:p w14:paraId="1FE7521E">
      <w:pPr>
        <w:spacing w:before="155" w:line="219"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保温材料的导热系数或热阻、密度、吸水率。</w:t>
      </w:r>
    </w:p>
    <w:p w14:paraId="1E08F90C">
      <w:pPr>
        <w:spacing w:before="155" w:line="275" w:lineRule="auto"/>
        <w:ind w:left="4" w:right="120" w:firstLine="1"/>
        <w:rPr>
          <w:rFonts w:ascii="宋体" w:hAnsi="宋体" w:eastAsia="宋体" w:cs="宋体"/>
          <w:sz w:val="24"/>
          <w:szCs w:val="24"/>
        </w:rPr>
      </w:pPr>
      <w:r>
        <w:rPr>
          <w:rFonts w:ascii="Times New Roman" w:hAnsi="Times New Roman" w:eastAsia="Times New Roman" w:cs="Times New Roman"/>
          <w:strike/>
          <w:sz w:val="24"/>
          <w:szCs w:val="24"/>
        </w:rPr>
        <w:t xml:space="preserve">9.2.3  </w:t>
      </w:r>
      <w:r>
        <w:rPr>
          <w:rFonts w:ascii="宋体" w:hAnsi="宋体" w:eastAsia="宋体" w:cs="宋体"/>
          <w:strike/>
          <w:sz w:val="24"/>
          <w:szCs w:val="24"/>
        </w:rPr>
        <w:t>供暖系统安装的温度调控装置和热计量装置，应满足设计要</w:t>
      </w:r>
      <w:r>
        <w:rPr>
          <w:rFonts w:ascii="宋体" w:hAnsi="宋体" w:eastAsia="宋体" w:cs="宋体"/>
          <w:strike/>
          <w:spacing w:val="-1"/>
          <w:sz w:val="24"/>
          <w:szCs w:val="24"/>
        </w:rPr>
        <w:t>求的分室</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户或区</w:t>
      </w:r>
      <w:r>
        <w:rPr>
          <w:rFonts w:ascii="Times New Roman" w:hAnsi="Times New Roman" w:eastAsia="Times New Roman" w:cs="Times New Roman"/>
          <w:strike/>
          <w:spacing w:val="-1"/>
          <w:sz w:val="24"/>
          <w:szCs w:val="24"/>
        </w:rPr>
        <w:t>)</w:t>
      </w:r>
      <w:r>
        <w:rPr>
          <w:rFonts w:ascii="宋体" w:hAnsi="宋体" w:eastAsia="宋体" w:cs="宋体"/>
          <w:strike/>
          <w:spacing w:val="-1"/>
          <w:sz w:val="24"/>
          <w:szCs w:val="24"/>
        </w:rPr>
        <w:t>温</w:t>
      </w:r>
      <w:r>
        <w:rPr>
          <w:rFonts w:ascii="宋体" w:hAnsi="宋体" w:eastAsia="宋体" w:cs="宋体"/>
          <w:sz w:val="24"/>
          <w:szCs w:val="24"/>
        </w:rPr>
        <w:t xml:space="preserve"> </w:t>
      </w:r>
      <w:r>
        <w:rPr>
          <w:rFonts w:ascii="宋体" w:hAnsi="宋体" w:eastAsia="宋体" w:cs="宋体"/>
          <w:strike/>
          <w:spacing w:val="-2"/>
          <w:sz w:val="24"/>
          <w:szCs w:val="24"/>
        </w:rPr>
        <w:t>度调控、楼栋热计量和分户</w:t>
      </w:r>
      <w:r>
        <w:rPr>
          <w:rFonts w:ascii="Times New Roman" w:hAnsi="Times New Roman" w:eastAsia="Times New Roman" w:cs="Times New Roman"/>
          <w:strike/>
          <w:spacing w:val="-2"/>
          <w:sz w:val="24"/>
          <w:szCs w:val="24"/>
        </w:rPr>
        <w:t>(</w:t>
      </w:r>
      <w:r>
        <w:rPr>
          <w:rFonts w:ascii="Times New Roman" w:hAnsi="Times New Roman" w:eastAsia="Times New Roman" w:cs="Times New Roman"/>
          <w:strike/>
          <w:spacing w:val="-28"/>
          <w:sz w:val="24"/>
          <w:szCs w:val="24"/>
        </w:rPr>
        <w:t xml:space="preserve"> </w:t>
      </w:r>
      <w:r>
        <w:rPr>
          <w:rFonts w:ascii="宋体" w:hAnsi="宋体" w:eastAsia="宋体" w:cs="宋体"/>
          <w:strike/>
          <w:spacing w:val="-2"/>
          <w:sz w:val="24"/>
          <w:szCs w:val="24"/>
        </w:rPr>
        <w:t>区</w:t>
      </w:r>
      <w:r>
        <w:rPr>
          <w:rFonts w:ascii="Times New Roman" w:hAnsi="Times New Roman" w:eastAsia="Times New Roman" w:cs="Times New Roman"/>
          <w:strike/>
          <w:spacing w:val="-2"/>
          <w:sz w:val="24"/>
          <w:szCs w:val="24"/>
        </w:rPr>
        <w:t>)</w:t>
      </w:r>
      <w:r>
        <w:rPr>
          <w:rFonts w:ascii="宋体" w:hAnsi="宋体" w:eastAsia="宋体" w:cs="宋体"/>
          <w:strike/>
          <w:spacing w:val="-2"/>
          <w:sz w:val="24"/>
          <w:szCs w:val="24"/>
        </w:rPr>
        <w:t>热计量功能。</w:t>
      </w:r>
    </w:p>
    <w:p w14:paraId="17029DA2">
      <w:pPr>
        <w:spacing w:before="165" w:line="279" w:lineRule="auto"/>
        <w:ind w:left="3" w:right="160" w:firstLine="20"/>
        <w:rPr>
          <w:rFonts w:ascii="宋体" w:hAnsi="宋体" w:eastAsia="宋体" w:cs="宋体"/>
          <w:sz w:val="24"/>
          <w:szCs w:val="24"/>
        </w:rPr>
      </w:pPr>
      <w:r>
        <w:rPr>
          <w:rFonts w:ascii="Times New Roman" w:hAnsi="Times New Roman" w:eastAsia="Times New Roman" w:cs="Times New Roman"/>
          <w:strike/>
          <w:spacing w:val="-1"/>
          <w:sz w:val="24"/>
          <w:szCs w:val="24"/>
        </w:rPr>
        <w:t xml:space="preserve">10.2.2  </w:t>
      </w:r>
      <w:r>
        <w:rPr>
          <w:rFonts w:ascii="宋体" w:hAnsi="宋体" w:eastAsia="宋体" w:cs="宋体"/>
          <w:strike/>
          <w:spacing w:val="-1"/>
          <w:sz w:val="24"/>
          <w:szCs w:val="24"/>
        </w:rPr>
        <w:t>通风与空调节能工程使用的风机盘管机组和绝热材料进场时，应对其下列性能</w:t>
      </w:r>
      <w:r>
        <w:rPr>
          <w:rFonts w:ascii="宋体" w:hAnsi="宋体" w:eastAsia="宋体" w:cs="宋体"/>
          <w:spacing w:val="12"/>
          <w:sz w:val="24"/>
          <w:szCs w:val="24"/>
        </w:rPr>
        <w:t xml:space="preserve"> </w:t>
      </w:r>
      <w:r>
        <w:rPr>
          <w:rFonts w:ascii="宋体" w:hAnsi="宋体" w:eastAsia="宋体" w:cs="宋体"/>
          <w:strike/>
          <w:spacing w:val="-1"/>
          <w:sz w:val="24"/>
          <w:szCs w:val="24"/>
        </w:rPr>
        <w:t>进行复验，复验应为见证取样检验。</w:t>
      </w:r>
    </w:p>
    <w:p w14:paraId="4A7E12E0">
      <w:pPr>
        <w:spacing w:before="154" w:line="219" w:lineRule="auto"/>
        <w:ind w:left="2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风机盘管机组的供冷量、供热量、风量、水阻力、功率及噪声；</w:t>
      </w:r>
    </w:p>
    <w:p w14:paraId="4F80C4F9">
      <w:pPr>
        <w:spacing w:before="156" w:line="219"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绝热材料的导热系数或热阻、密度、吸水率。</w:t>
      </w:r>
    </w:p>
    <w:p w14:paraId="2F1A7CCC">
      <w:pPr>
        <w:spacing w:before="157" w:line="300" w:lineRule="auto"/>
        <w:ind w:left="4" w:right="160" w:firstLine="19"/>
        <w:rPr>
          <w:rFonts w:ascii="宋体" w:hAnsi="宋体" w:eastAsia="宋体" w:cs="宋体"/>
          <w:sz w:val="24"/>
          <w:szCs w:val="24"/>
        </w:rPr>
      </w:pPr>
      <w:r>
        <w:rPr>
          <w:rFonts w:ascii="Times New Roman" w:hAnsi="Times New Roman" w:eastAsia="Times New Roman" w:cs="Times New Roman"/>
          <w:strike/>
          <w:spacing w:val="-1"/>
          <w:sz w:val="24"/>
          <w:szCs w:val="24"/>
        </w:rPr>
        <w:t xml:space="preserve">11.2.2  </w:t>
      </w:r>
      <w:r>
        <w:rPr>
          <w:rFonts w:ascii="宋体" w:hAnsi="宋体" w:eastAsia="宋体" w:cs="宋体"/>
          <w:strike/>
          <w:spacing w:val="-1"/>
          <w:sz w:val="24"/>
          <w:szCs w:val="24"/>
        </w:rPr>
        <w:t>空调与供暖系统冷热源及管网节能工程的预制绝热管道、绝热材料进场时，应</w:t>
      </w:r>
      <w:r>
        <w:rPr>
          <w:rFonts w:ascii="宋体" w:hAnsi="宋体" w:eastAsia="宋体" w:cs="宋体"/>
          <w:spacing w:val="4"/>
          <w:sz w:val="24"/>
          <w:szCs w:val="24"/>
        </w:rPr>
        <w:t xml:space="preserve"> </w:t>
      </w:r>
      <w:r>
        <w:rPr>
          <w:rFonts w:ascii="宋体" w:hAnsi="宋体" w:eastAsia="宋体" w:cs="宋体"/>
          <w:strike/>
          <w:sz w:val="24"/>
          <w:szCs w:val="24"/>
        </w:rPr>
        <w:t>对绝热材料的导热系数或热阻、密度、吸水率等性能进行复验</w:t>
      </w:r>
      <w:r>
        <w:rPr>
          <w:rFonts w:ascii="宋体" w:hAnsi="宋体" w:eastAsia="宋体" w:cs="宋体"/>
          <w:strike/>
          <w:spacing w:val="-1"/>
          <w:sz w:val="24"/>
          <w:szCs w:val="24"/>
        </w:rPr>
        <w:t>，复验应为见证取样检</w:t>
      </w:r>
      <w:r>
        <w:rPr>
          <w:rFonts w:ascii="宋体" w:hAnsi="宋体" w:eastAsia="宋体" w:cs="宋体"/>
          <w:sz w:val="24"/>
          <w:szCs w:val="24"/>
        </w:rPr>
        <w:t xml:space="preserve"> </w:t>
      </w:r>
      <w:r>
        <w:rPr>
          <w:rFonts w:ascii="宋体" w:hAnsi="宋体" w:eastAsia="宋体" w:cs="宋体"/>
          <w:strike/>
          <w:spacing w:val="-3"/>
          <w:sz w:val="24"/>
          <w:szCs w:val="24"/>
        </w:rPr>
        <w:t>验。</w:t>
      </w:r>
    </w:p>
    <w:p w14:paraId="054946D0">
      <w:pPr>
        <w:spacing w:before="148" w:line="279" w:lineRule="auto"/>
        <w:ind w:left="6" w:right="160" w:firstLine="17"/>
        <w:rPr>
          <w:rFonts w:ascii="宋体" w:hAnsi="宋体" w:eastAsia="宋体" w:cs="宋体"/>
          <w:sz w:val="24"/>
          <w:szCs w:val="24"/>
        </w:rPr>
      </w:pPr>
      <w:r>
        <w:rPr>
          <w:rFonts w:ascii="Times New Roman" w:hAnsi="Times New Roman" w:eastAsia="Times New Roman" w:cs="Times New Roman"/>
          <w:strike/>
          <w:spacing w:val="-1"/>
          <w:sz w:val="24"/>
          <w:szCs w:val="24"/>
        </w:rPr>
        <w:t xml:space="preserve">12.2.2  </w:t>
      </w:r>
      <w:r>
        <w:rPr>
          <w:rFonts w:ascii="宋体" w:hAnsi="宋体" w:eastAsia="宋体" w:cs="宋体"/>
          <w:strike/>
          <w:spacing w:val="-1"/>
          <w:sz w:val="24"/>
          <w:szCs w:val="24"/>
        </w:rPr>
        <w:t>配电与照明节能工程使用的照明光源、照明灯具及其附属装置等进场时，应对</w:t>
      </w:r>
      <w:r>
        <w:rPr>
          <w:rFonts w:ascii="宋体" w:hAnsi="宋体" w:eastAsia="宋体" w:cs="宋体"/>
          <w:spacing w:val="12"/>
          <w:sz w:val="24"/>
          <w:szCs w:val="24"/>
        </w:rPr>
        <w:t xml:space="preserve"> </w:t>
      </w:r>
      <w:r>
        <w:rPr>
          <w:rFonts w:ascii="宋体" w:hAnsi="宋体" w:eastAsia="宋体" w:cs="宋体"/>
          <w:strike/>
          <w:spacing w:val="-1"/>
          <w:sz w:val="24"/>
          <w:szCs w:val="24"/>
        </w:rPr>
        <w:t>其下列性能进行复验，复验应为见证取样检验：</w:t>
      </w:r>
    </w:p>
    <w:p w14:paraId="3490B51C">
      <w:pPr>
        <w:spacing w:before="154" w:line="220" w:lineRule="auto"/>
        <w:ind w:left="24"/>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照明光源初始光效；</w:t>
      </w:r>
    </w:p>
    <w:p w14:paraId="54C7B73B">
      <w:pPr>
        <w:spacing w:before="155" w:line="220"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照明灯具镇流器能效值；</w:t>
      </w:r>
    </w:p>
    <w:p w14:paraId="02064E22">
      <w:pPr>
        <w:spacing w:before="153" w:line="220" w:lineRule="auto"/>
        <w:ind w:left="5"/>
        <w:rPr>
          <w:rFonts w:ascii="宋体" w:hAnsi="宋体" w:eastAsia="宋体" w:cs="宋体"/>
          <w:sz w:val="24"/>
          <w:szCs w:val="24"/>
        </w:rPr>
      </w:pPr>
      <w:r>
        <w:rPr>
          <w:rFonts w:ascii="Times New Roman" w:hAnsi="Times New Roman" w:eastAsia="Times New Roman" w:cs="Times New Roman"/>
          <w:strike/>
          <w:spacing w:val="-4"/>
          <w:sz w:val="24"/>
          <w:szCs w:val="24"/>
        </w:rPr>
        <w:t>3</w:t>
      </w:r>
      <w:r>
        <w:rPr>
          <w:rFonts w:ascii="Times New Roman" w:hAnsi="Times New Roman" w:eastAsia="Times New Roman" w:cs="Times New Roman"/>
          <w:strike/>
          <w:spacing w:val="11"/>
          <w:sz w:val="24"/>
          <w:szCs w:val="24"/>
        </w:rPr>
        <w:t xml:space="preserve">  </w:t>
      </w:r>
      <w:r>
        <w:rPr>
          <w:rFonts w:ascii="宋体" w:hAnsi="宋体" w:eastAsia="宋体" w:cs="宋体"/>
          <w:strike/>
          <w:spacing w:val="-4"/>
          <w:sz w:val="24"/>
          <w:szCs w:val="24"/>
        </w:rPr>
        <w:t>照明灯具效率；</w:t>
      </w:r>
    </w:p>
    <w:p w14:paraId="52C81BDD">
      <w:pPr>
        <w:spacing w:before="154" w:line="220" w:lineRule="auto"/>
        <w:rPr>
          <w:rFonts w:ascii="宋体" w:hAnsi="宋体" w:eastAsia="宋体" w:cs="宋体"/>
          <w:sz w:val="24"/>
          <w:szCs w:val="24"/>
        </w:rPr>
      </w:pPr>
      <w:r>
        <w:rPr>
          <w:rFonts w:ascii="Times New Roman" w:hAnsi="Times New Roman" w:eastAsia="Times New Roman" w:cs="Times New Roman"/>
          <w:strike/>
          <w:spacing w:val="-1"/>
          <w:sz w:val="24"/>
          <w:szCs w:val="24"/>
        </w:rPr>
        <w:t xml:space="preserve">4  </w:t>
      </w:r>
      <w:r>
        <w:rPr>
          <w:rFonts w:ascii="宋体" w:hAnsi="宋体" w:eastAsia="宋体" w:cs="宋体"/>
          <w:strike/>
          <w:spacing w:val="-1"/>
          <w:sz w:val="24"/>
          <w:szCs w:val="24"/>
        </w:rPr>
        <w:t>照明设备功率、功率因数和谐波含量值。</w:t>
      </w:r>
    </w:p>
    <w:p w14:paraId="1944AD6F">
      <w:pPr>
        <w:spacing w:before="154" w:line="279" w:lineRule="auto"/>
        <w:ind w:left="8" w:right="160" w:firstLine="15"/>
        <w:rPr>
          <w:rFonts w:ascii="宋体" w:hAnsi="宋体" w:eastAsia="宋体" w:cs="宋体"/>
          <w:sz w:val="24"/>
          <w:szCs w:val="24"/>
        </w:rPr>
      </w:pPr>
      <w:r>
        <w:rPr>
          <w:rFonts w:ascii="Times New Roman" w:hAnsi="Times New Roman" w:eastAsia="Times New Roman" w:cs="Times New Roman"/>
          <w:strike/>
          <w:spacing w:val="-1"/>
          <w:sz w:val="24"/>
          <w:szCs w:val="24"/>
        </w:rPr>
        <w:t xml:space="preserve">12.2.3  </w:t>
      </w:r>
      <w:r>
        <w:rPr>
          <w:rFonts w:ascii="宋体" w:hAnsi="宋体" w:eastAsia="宋体" w:cs="宋体"/>
          <w:strike/>
          <w:spacing w:val="-1"/>
          <w:sz w:val="24"/>
          <w:szCs w:val="24"/>
        </w:rPr>
        <w:t>低压配电系统使用的电线、电缆进场时，应对其导体电阻值进行复验，复验应</w:t>
      </w:r>
      <w:r>
        <w:rPr>
          <w:rFonts w:ascii="宋体" w:hAnsi="宋体" w:eastAsia="宋体" w:cs="宋体"/>
          <w:spacing w:val="12"/>
          <w:sz w:val="24"/>
          <w:szCs w:val="24"/>
        </w:rPr>
        <w:t xml:space="preserve"> </w:t>
      </w:r>
      <w:r>
        <w:rPr>
          <w:rFonts w:ascii="宋体" w:hAnsi="宋体" w:eastAsia="宋体" w:cs="宋体"/>
          <w:strike/>
          <w:spacing w:val="-2"/>
          <w:sz w:val="24"/>
          <w:szCs w:val="24"/>
        </w:rPr>
        <w:t>为见证取样检验。</w:t>
      </w:r>
    </w:p>
    <w:p w14:paraId="2970AEC8">
      <w:pPr>
        <w:spacing w:before="156" w:line="279" w:lineRule="auto"/>
        <w:ind w:left="3" w:right="160" w:firstLine="20"/>
        <w:rPr>
          <w:rFonts w:ascii="宋体" w:hAnsi="宋体" w:eastAsia="宋体" w:cs="宋体"/>
          <w:sz w:val="24"/>
          <w:szCs w:val="24"/>
        </w:rPr>
      </w:pPr>
      <w:r>
        <w:rPr>
          <w:rFonts w:ascii="Times New Roman" w:hAnsi="Times New Roman" w:eastAsia="Times New Roman" w:cs="Times New Roman"/>
          <w:strike/>
          <w:spacing w:val="-1"/>
          <w:sz w:val="24"/>
          <w:szCs w:val="24"/>
        </w:rPr>
        <w:t xml:space="preserve">15.2.2  </w:t>
      </w:r>
      <w:r>
        <w:rPr>
          <w:rFonts w:ascii="宋体" w:hAnsi="宋体" w:eastAsia="宋体" w:cs="宋体"/>
          <w:strike/>
          <w:spacing w:val="-1"/>
          <w:sz w:val="24"/>
          <w:szCs w:val="24"/>
        </w:rPr>
        <w:t>太阳能光热系统节能工程采用的集热设备、保温材料进场时，应对其下列性能</w:t>
      </w:r>
      <w:r>
        <w:rPr>
          <w:rFonts w:ascii="宋体" w:hAnsi="宋体" w:eastAsia="宋体" w:cs="宋体"/>
          <w:spacing w:val="12"/>
          <w:sz w:val="24"/>
          <w:szCs w:val="24"/>
        </w:rPr>
        <w:t xml:space="preserve"> </w:t>
      </w:r>
      <w:r>
        <w:rPr>
          <w:rFonts w:ascii="宋体" w:hAnsi="宋体" w:eastAsia="宋体" w:cs="宋体"/>
          <w:strike/>
          <w:spacing w:val="-1"/>
          <w:sz w:val="24"/>
          <w:szCs w:val="24"/>
        </w:rPr>
        <w:t>进行复验，复验应为见证取样检验：</w:t>
      </w:r>
    </w:p>
    <w:p w14:paraId="2FE94DE5">
      <w:pPr>
        <w:spacing w:line="279" w:lineRule="auto"/>
        <w:rPr>
          <w:rFonts w:ascii="宋体" w:hAnsi="宋体" w:eastAsia="宋体" w:cs="宋体"/>
          <w:sz w:val="24"/>
          <w:szCs w:val="24"/>
        </w:rPr>
        <w:sectPr>
          <w:footerReference r:id="rId62" w:type="default"/>
          <w:pgSz w:w="11907" w:h="16839"/>
          <w:pgMar w:top="400" w:right="1448" w:bottom="743" w:left="1421" w:header="0" w:footer="582" w:gutter="0"/>
          <w:cols w:space="720" w:num="1"/>
        </w:sectPr>
      </w:pPr>
    </w:p>
    <w:p w14:paraId="33E97428">
      <w:pPr>
        <w:pStyle w:val="2"/>
        <w:spacing w:line="303" w:lineRule="auto"/>
      </w:pPr>
    </w:p>
    <w:p w14:paraId="63AD9B93">
      <w:pPr>
        <w:pStyle w:val="2"/>
        <w:spacing w:line="303" w:lineRule="auto"/>
      </w:pPr>
    </w:p>
    <w:p w14:paraId="46B49DD3">
      <w:pPr>
        <w:pStyle w:val="2"/>
        <w:spacing w:line="303" w:lineRule="auto"/>
      </w:pPr>
    </w:p>
    <w:p w14:paraId="0F05C2F6">
      <w:pPr>
        <w:spacing w:before="78" w:line="220" w:lineRule="auto"/>
        <w:ind w:left="24"/>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集热设备的热性能；</w:t>
      </w:r>
    </w:p>
    <w:p w14:paraId="48661C64">
      <w:pPr>
        <w:spacing w:before="154" w:line="219"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保温材料的导热系数或热阻、密度、吸水率。</w:t>
      </w:r>
    </w:p>
    <w:p w14:paraId="12B43F7F">
      <w:pPr>
        <w:spacing w:before="154" w:line="279" w:lineRule="auto"/>
        <w:ind w:left="5" w:right="97" w:firstLine="6"/>
        <w:rPr>
          <w:rFonts w:ascii="宋体" w:hAnsi="宋体" w:eastAsia="宋体" w:cs="宋体"/>
          <w:sz w:val="24"/>
          <w:szCs w:val="24"/>
        </w:rPr>
      </w:pPr>
      <w:r>
        <w:rPr>
          <w:rFonts w:ascii="Times New Roman" w:hAnsi="Times New Roman" w:eastAsia="Times New Roman" w:cs="Times New Roman"/>
          <w:b/>
          <w:bCs/>
          <w:color w:val="EE0000"/>
          <w:spacing w:val="-2"/>
          <w:sz w:val="24"/>
          <w:szCs w:val="24"/>
        </w:rPr>
        <w:t xml:space="preserve">15.2.6  </w:t>
      </w:r>
      <w:r>
        <w:rPr>
          <w:rFonts w:ascii="宋体" w:hAnsi="宋体" w:eastAsia="宋体" w:cs="宋体"/>
          <w:b/>
          <w:bCs/>
          <w:color w:val="EE0000"/>
          <w:spacing w:val="-2"/>
          <w:sz w:val="24"/>
          <w:szCs w:val="24"/>
        </w:rPr>
        <w:t>太阳能光热系统辅助加热设备为电直接加热器时，接地保护必须可靠固定，并</w:t>
      </w:r>
      <w:r>
        <w:rPr>
          <w:rFonts w:ascii="宋体" w:hAnsi="宋体" w:eastAsia="宋体" w:cs="宋体"/>
          <w:color w:val="EE0000"/>
          <w:spacing w:val="3"/>
          <w:sz w:val="24"/>
          <w:szCs w:val="24"/>
        </w:rPr>
        <w:t xml:space="preserve"> </w:t>
      </w:r>
      <w:r>
        <w:rPr>
          <w:rFonts w:ascii="宋体" w:hAnsi="宋体" w:eastAsia="宋体" w:cs="宋体"/>
          <w:b/>
          <w:bCs/>
          <w:color w:val="EE0000"/>
          <w:spacing w:val="-3"/>
          <w:sz w:val="24"/>
          <w:szCs w:val="24"/>
        </w:rPr>
        <w:t>应加装防漏电、防干烧等保护装置。</w:t>
      </w:r>
    </w:p>
    <w:p w14:paraId="1831E674">
      <w:pPr>
        <w:spacing w:before="155" w:line="220" w:lineRule="auto"/>
        <w:ind w:left="24"/>
        <w:rPr>
          <w:rFonts w:ascii="宋体" w:hAnsi="宋体" w:eastAsia="宋体" w:cs="宋体"/>
          <w:sz w:val="24"/>
          <w:szCs w:val="24"/>
        </w:rPr>
      </w:pPr>
      <w:r>
        <w:rPr>
          <w:rFonts w:ascii="Times New Roman" w:hAnsi="Times New Roman" w:eastAsia="Times New Roman" w:cs="Times New Roman"/>
          <w:strike/>
          <w:spacing w:val="-1"/>
          <w:sz w:val="24"/>
          <w:szCs w:val="24"/>
        </w:rPr>
        <w:t xml:space="preserve">18.0.5  </w:t>
      </w:r>
      <w:r>
        <w:rPr>
          <w:rFonts w:ascii="宋体" w:hAnsi="宋体" w:eastAsia="宋体" w:cs="宋体"/>
          <w:strike/>
          <w:spacing w:val="-1"/>
          <w:sz w:val="24"/>
          <w:szCs w:val="24"/>
        </w:rPr>
        <w:t>建筑节能分部工程质量验收合格，应符合下列规定：</w:t>
      </w:r>
    </w:p>
    <w:p w14:paraId="5B83C60A">
      <w:pPr>
        <w:spacing w:before="153" w:line="220" w:lineRule="auto"/>
        <w:ind w:left="24"/>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分项工程应全部合格；</w:t>
      </w:r>
    </w:p>
    <w:p w14:paraId="0FE44CAF">
      <w:pPr>
        <w:spacing w:before="154" w:line="220" w:lineRule="auto"/>
        <w:ind w:left="1"/>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质量控制资料应完整；</w:t>
      </w:r>
    </w:p>
    <w:p w14:paraId="742DC27C">
      <w:pPr>
        <w:spacing w:before="154" w:line="220"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外墙节能构造现场实体检验结果应符合设计要求；</w:t>
      </w:r>
    </w:p>
    <w:p w14:paraId="7C2AE789">
      <w:pPr>
        <w:spacing w:before="153"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建筑外窗气密性能现场实体检验结果应符合</w:t>
      </w:r>
      <w:r>
        <w:rPr>
          <w:rFonts w:ascii="宋体" w:hAnsi="宋体" w:eastAsia="宋体" w:cs="宋体"/>
          <w:strike/>
          <w:spacing w:val="-1"/>
          <w:sz w:val="24"/>
          <w:szCs w:val="24"/>
        </w:rPr>
        <w:t>设计要求；</w:t>
      </w:r>
    </w:p>
    <w:p w14:paraId="25BB6CC9">
      <w:pPr>
        <w:spacing w:before="155" w:line="220"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建筑设备系统节能性能检测结果应合格。</w:t>
      </w:r>
    </w:p>
    <w:p w14:paraId="3ABF72ED">
      <w:pPr>
        <w:spacing w:before="201" w:line="226" w:lineRule="auto"/>
        <w:ind w:left="6"/>
        <w:outlineLvl w:val="2"/>
        <w:rPr>
          <w:rFonts w:ascii="Times New Roman" w:hAnsi="Times New Roman" w:eastAsia="Times New Roman" w:cs="Times New Roman"/>
          <w:sz w:val="27"/>
          <w:szCs w:val="27"/>
        </w:rPr>
      </w:pPr>
      <w:bookmarkStart w:id="82" w:name="bookmark128"/>
      <w:bookmarkEnd w:id="82"/>
      <w:r>
        <w:rPr>
          <w:rFonts w:ascii="Times New Roman" w:hAnsi="Times New Roman" w:eastAsia="Times New Roman" w:cs="Times New Roman"/>
          <w:b/>
          <w:bCs/>
          <w:spacing w:val="7"/>
          <w:sz w:val="27"/>
          <w:szCs w:val="27"/>
        </w:rPr>
        <w:t>6.</w:t>
      </w:r>
      <w:r>
        <w:rPr>
          <w:rFonts w:ascii="宋体" w:hAnsi="宋体" w:eastAsia="宋体" w:cs="宋体"/>
          <w:b/>
          <w:bCs/>
          <w:spacing w:val="7"/>
          <w:sz w:val="27"/>
          <w:szCs w:val="27"/>
        </w:rPr>
        <w:t>《</w:t>
      </w:r>
      <w:r>
        <w:rPr>
          <w:rFonts w:ascii="宋体" w:hAnsi="宋体" w:eastAsia="宋体" w:cs="宋体"/>
          <w:b/>
          <w:bCs/>
          <w:color w:val="0563C1"/>
          <w:spacing w:val="7"/>
          <w:sz w:val="27"/>
          <w:szCs w:val="27"/>
          <w:u w:val="single" w:color="auto"/>
        </w:rPr>
        <w:t>数据中心基础设施施工及验收标准</w:t>
      </w:r>
      <w:r>
        <w:rPr>
          <w:rFonts w:ascii="宋体" w:hAnsi="宋体" w:eastAsia="宋体" w:cs="宋体"/>
          <w:b/>
          <w:bCs/>
          <w:spacing w:val="7"/>
          <w:sz w:val="27"/>
          <w:szCs w:val="27"/>
        </w:rPr>
        <w:t>》</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7"/>
          <w:sz w:val="27"/>
          <w:szCs w:val="27"/>
        </w:rPr>
        <w:t>50462-</w:t>
      </w:r>
      <w:r>
        <w:rPr>
          <w:rFonts w:ascii="Times New Roman" w:hAnsi="Times New Roman" w:eastAsia="Times New Roman" w:cs="Times New Roman"/>
          <w:b/>
          <w:bCs/>
          <w:spacing w:val="6"/>
          <w:sz w:val="27"/>
          <w:szCs w:val="27"/>
        </w:rPr>
        <w:t>2024</w:t>
      </w:r>
    </w:p>
    <w:p w14:paraId="7FC8720A">
      <w:pPr>
        <w:spacing w:before="286" w:line="279" w:lineRule="auto"/>
        <w:ind w:left="3" w:right="120" w:firstLine="4"/>
        <w:rPr>
          <w:rFonts w:ascii="宋体" w:hAnsi="宋体" w:eastAsia="宋体" w:cs="宋体"/>
          <w:sz w:val="24"/>
          <w:szCs w:val="24"/>
        </w:rPr>
      </w:pPr>
      <w:r>
        <w:rPr>
          <w:rFonts w:ascii="Times New Roman" w:hAnsi="Times New Roman" w:eastAsia="Times New Roman" w:cs="Times New Roman"/>
          <w:sz w:val="24"/>
          <w:szCs w:val="24"/>
        </w:rPr>
        <w:t xml:space="preserve">5.2.10  </w:t>
      </w:r>
      <w:r>
        <w:rPr>
          <w:rFonts w:ascii="宋体" w:hAnsi="宋体" w:eastAsia="宋体" w:cs="宋体"/>
          <w:sz w:val="24"/>
          <w:szCs w:val="24"/>
        </w:rPr>
        <w:t>含有腐蚀性物质的铅酸类电池，安装时必须采取</w:t>
      </w:r>
      <w:r>
        <w:rPr>
          <w:rFonts w:ascii="宋体" w:hAnsi="宋体" w:eastAsia="宋体" w:cs="宋体"/>
          <w:spacing w:val="-1"/>
          <w:sz w:val="24"/>
          <w:szCs w:val="24"/>
        </w:rPr>
        <w:t>佩戴防护装具以及安装排气装</w:t>
      </w:r>
      <w:r>
        <w:rPr>
          <w:rFonts w:ascii="宋体" w:hAnsi="宋体" w:eastAsia="宋体" w:cs="宋体"/>
          <w:sz w:val="24"/>
          <w:szCs w:val="24"/>
        </w:rPr>
        <w:t xml:space="preserve"> </w:t>
      </w:r>
      <w:r>
        <w:rPr>
          <w:rFonts w:ascii="宋体" w:hAnsi="宋体" w:eastAsia="宋体" w:cs="宋体"/>
          <w:spacing w:val="-6"/>
          <w:sz w:val="24"/>
          <w:szCs w:val="24"/>
        </w:rPr>
        <w:t>置等防护措施。</w:t>
      </w:r>
    </w:p>
    <w:p w14:paraId="22145307">
      <w:pPr>
        <w:spacing w:before="155" w:line="219" w:lineRule="auto"/>
        <w:ind w:left="7"/>
        <w:rPr>
          <w:rFonts w:ascii="宋体" w:hAnsi="宋体" w:eastAsia="宋体" w:cs="宋体"/>
          <w:sz w:val="24"/>
          <w:szCs w:val="24"/>
        </w:rPr>
      </w:pPr>
      <w:r>
        <w:rPr>
          <w:rFonts w:ascii="Times New Roman" w:hAnsi="Times New Roman" w:eastAsia="Times New Roman" w:cs="Times New Roman"/>
          <w:spacing w:val="-3"/>
          <w:sz w:val="24"/>
          <w:szCs w:val="24"/>
        </w:rPr>
        <w:t>5.2.11</w:t>
      </w:r>
      <w:r>
        <w:rPr>
          <w:rFonts w:ascii="Times New Roman" w:hAnsi="Times New Roman" w:eastAsia="Times New Roman" w:cs="Times New Roman"/>
          <w:spacing w:val="24"/>
          <w:sz w:val="24"/>
          <w:szCs w:val="24"/>
        </w:rPr>
        <w:t xml:space="preserve">  </w:t>
      </w:r>
      <w:r>
        <w:rPr>
          <w:rFonts w:ascii="宋体" w:hAnsi="宋体" w:eastAsia="宋体" w:cs="宋体"/>
          <w:spacing w:val="-3"/>
          <w:sz w:val="24"/>
          <w:szCs w:val="24"/>
        </w:rPr>
        <w:t>电池汇流排及端子裸露部位必须采取加装绝缘护板的防护措施。</w:t>
      </w:r>
    </w:p>
    <w:p w14:paraId="587FCA15">
      <w:pPr>
        <w:spacing w:before="203" w:line="225" w:lineRule="auto"/>
        <w:ind w:left="5"/>
        <w:outlineLvl w:val="2"/>
        <w:rPr>
          <w:rFonts w:ascii="宋体" w:hAnsi="宋体" w:eastAsia="宋体" w:cs="宋体"/>
          <w:sz w:val="27"/>
          <w:szCs w:val="27"/>
        </w:rPr>
      </w:pPr>
      <w:bookmarkStart w:id="83" w:name="bookmark129"/>
      <w:bookmarkEnd w:id="83"/>
      <w:r>
        <w:rPr>
          <w:rFonts w:ascii="Times New Roman" w:hAnsi="Times New Roman" w:eastAsia="Times New Roman" w:cs="Times New Roman"/>
          <w:b/>
          <w:bCs/>
          <w:spacing w:val="6"/>
          <w:sz w:val="27"/>
          <w:szCs w:val="27"/>
        </w:rPr>
        <w:t>7.</w:t>
      </w:r>
      <w:r>
        <w:rPr>
          <w:rFonts w:ascii="Times New Roman" w:hAnsi="Times New Roman" w:eastAsia="Times New Roman" w:cs="Times New Roman"/>
          <w:b/>
          <w:bCs/>
          <w:spacing w:val="-37"/>
          <w:sz w:val="27"/>
          <w:szCs w:val="27"/>
        </w:rPr>
        <w:t xml:space="preserve"> </w:t>
      </w:r>
      <w:r>
        <w:rPr>
          <w:rFonts w:ascii="宋体" w:hAnsi="宋体" w:eastAsia="宋体" w:cs="宋体"/>
          <w:b/>
          <w:bCs/>
          <w:spacing w:val="6"/>
          <w:sz w:val="27"/>
          <w:szCs w:val="27"/>
        </w:rPr>
        <w:t>《太阳能供热采暖工程技术标准》——</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50495-2019</w:t>
      </w:r>
      <w:r>
        <w:rPr>
          <w:rFonts w:ascii="宋体" w:hAnsi="宋体" w:eastAsia="宋体" w:cs="宋体"/>
          <w:b/>
          <w:bCs/>
          <w:spacing w:val="6"/>
          <w:sz w:val="27"/>
          <w:szCs w:val="27"/>
        </w:rPr>
        <w:t>【强条已废】</w:t>
      </w:r>
    </w:p>
    <w:p w14:paraId="394B279D">
      <w:pPr>
        <w:spacing w:before="287"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EE0000"/>
          <w:spacing w:val="-2"/>
          <w:sz w:val="24"/>
          <w:szCs w:val="24"/>
        </w:rPr>
        <w:t xml:space="preserve">GB55015-2021 </w:t>
      </w:r>
      <w:r>
        <w:rPr>
          <w:rFonts w:ascii="宋体" w:hAnsi="宋体" w:eastAsia="宋体" w:cs="宋体"/>
          <w:b/>
          <w:bCs/>
          <w:color w:val="EE0000"/>
          <w:spacing w:val="-2"/>
          <w:sz w:val="24"/>
          <w:szCs w:val="24"/>
        </w:rPr>
        <w:t>建筑节能与可再生能</w:t>
      </w:r>
      <w:r>
        <w:rPr>
          <w:rFonts w:ascii="宋体" w:hAnsi="宋体" w:eastAsia="宋体" w:cs="宋体"/>
          <w:b/>
          <w:bCs/>
          <w:color w:val="EE0000"/>
          <w:spacing w:val="-3"/>
          <w:sz w:val="24"/>
          <w:szCs w:val="24"/>
        </w:rPr>
        <w:t>源利用通用规范》替代</w:t>
      </w:r>
    </w:p>
    <w:p w14:paraId="25453BE5">
      <w:pPr>
        <w:spacing w:before="156" w:line="279" w:lineRule="auto"/>
        <w:ind w:left="6" w:right="119" w:firstLine="17"/>
        <w:rPr>
          <w:rFonts w:ascii="宋体" w:hAnsi="宋体" w:eastAsia="宋体" w:cs="宋体"/>
          <w:sz w:val="24"/>
          <w:szCs w:val="24"/>
        </w:rPr>
      </w:pPr>
      <w:r>
        <w:rPr>
          <w:rFonts w:ascii="Times New Roman" w:hAnsi="Times New Roman" w:eastAsia="Times New Roman" w:cs="Times New Roman"/>
          <w:strike/>
          <w:spacing w:val="-1"/>
          <w:sz w:val="24"/>
          <w:szCs w:val="24"/>
        </w:rPr>
        <w:t xml:space="preserve">1.0.5    </w:t>
      </w:r>
      <w:r>
        <w:rPr>
          <w:rFonts w:ascii="宋体" w:hAnsi="宋体" w:eastAsia="宋体" w:cs="宋体"/>
          <w:strike/>
          <w:spacing w:val="-1"/>
          <w:sz w:val="24"/>
          <w:szCs w:val="24"/>
        </w:rPr>
        <w:t>既有建筑増设或改造太阳能供热采暖系统时，应进行建筑结构安全复核并满足</w:t>
      </w:r>
      <w:r>
        <w:rPr>
          <w:rFonts w:ascii="宋体" w:hAnsi="宋体" w:eastAsia="宋体" w:cs="宋体"/>
          <w:spacing w:val="13"/>
          <w:sz w:val="24"/>
          <w:szCs w:val="24"/>
        </w:rPr>
        <w:t xml:space="preserve"> </w:t>
      </w:r>
      <w:r>
        <w:rPr>
          <w:rFonts w:ascii="宋体" w:hAnsi="宋体" w:eastAsia="宋体" w:cs="宋体"/>
          <w:strike/>
          <w:spacing w:val="-2"/>
          <w:sz w:val="24"/>
          <w:szCs w:val="24"/>
        </w:rPr>
        <w:t>其安全性要求。</w:t>
      </w:r>
    </w:p>
    <w:p w14:paraId="37CBD394">
      <w:pPr>
        <w:spacing w:before="152" w:line="220"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5.1.1    </w:t>
      </w:r>
      <w:r>
        <w:rPr>
          <w:rFonts w:ascii="宋体" w:hAnsi="宋体" w:eastAsia="宋体" w:cs="宋体"/>
          <w:strike/>
          <w:sz w:val="24"/>
          <w:szCs w:val="24"/>
        </w:rPr>
        <w:t>建筑物上安装太阳能集热系统不</w:t>
      </w:r>
      <w:r>
        <w:rPr>
          <w:rFonts w:ascii="宋体" w:hAnsi="宋体" w:eastAsia="宋体" w:cs="宋体"/>
          <w:strike/>
          <w:spacing w:val="-1"/>
          <w:sz w:val="24"/>
          <w:szCs w:val="24"/>
        </w:rPr>
        <w:t>得降低相邻建筑的日照标准。</w:t>
      </w:r>
    </w:p>
    <w:p w14:paraId="0CA39816">
      <w:pPr>
        <w:spacing w:before="154" w:line="279" w:lineRule="auto"/>
        <w:ind w:left="5" w:right="119" w:firstLine="2"/>
        <w:rPr>
          <w:rFonts w:ascii="宋体" w:hAnsi="宋体" w:eastAsia="宋体" w:cs="宋体"/>
          <w:sz w:val="24"/>
          <w:szCs w:val="24"/>
        </w:rPr>
      </w:pPr>
      <w:r>
        <w:rPr>
          <w:rFonts w:ascii="Times New Roman" w:hAnsi="Times New Roman" w:eastAsia="Times New Roman" w:cs="Times New Roman"/>
          <w:strike/>
          <w:sz w:val="24"/>
          <w:szCs w:val="24"/>
        </w:rPr>
        <w:t xml:space="preserve">5.1.2    </w:t>
      </w:r>
      <w:r>
        <w:rPr>
          <w:rFonts w:ascii="宋体" w:hAnsi="宋体" w:eastAsia="宋体" w:cs="宋体"/>
          <w:strike/>
          <w:sz w:val="24"/>
          <w:szCs w:val="24"/>
        </w:rPr>
        <w:t>太阳能集热系统应根据建设地区和使用条件采取</w:t>
      </w:r>
      <w:r>
        <w:rPr>
          <w:rFonts w:ascii="宋体" w:hAnsi="宋体" w:eastAsia="宋体" w:cs="宋体"/>
          <w:strike/>
          <w:spacing w:val="-1"/>
          <w:sz w:val="24"/>
          <w:szCs w:val="24"/>
        </w:rPr>
        <w:t>防冻、防过热、防雹、抗风、</w:t>
      </w:r>
      <w:r>
        <w:rPr>
          <w:rFonts w:ascii="宋体" w:hAnsi="宋体" w:eastAsia="宋体" w:cs="宋体"/>
          <w:sz w:val="24"/>
          <w:szCs w:val="24"/>
        </w:rPr>
        <w:t xml:space="preserve"> </w:t>
      </w:r>
      <w:r>
        <w:rPr>
          <w:rFonts w:ascii="宋体" w:hAnsi="宋体" w:eastAsia="宋体" w:cs="宋体"/>
          <w:strike/>
          <w:spacing w:val="-1"/>
          <w:sz w:val="24"/>
          <w:szCs w:val="24"/>
        </w:rPr>
        <w:t>抗震、防雷和用电安全等技术措施。</w:t>
      </w:r>
    </w:p>
    <w:p w14:paraId="3AF6A158">
      <w:pPr>
        <w:spacing w:before="156" w:line="279" w:lineRule="auto"/>
        <w:ind w:left="8" w:right="120" w:hanging="1"/>
        <w:rPr>
          <w:rFonts w:ascii="宋体" w:hAnsi="宋体" w:eastAsia="宋体" w:cs="宋体"/>
          <w:sz w:val="24"/>
          <w:szCs w:val="24"/>
        </w:rPr>
      </w:pPr>
      <w:r>
        <w:rPr>
          <w:rFonts w:ascii="Times New Roman" w:hAnsi="Times New Roman" w:eastAsia="Times New Roman" w:cs="Times New Roman"/>
          <w:strike/>
          <w:sz w:val="24"/>
          <w:szCs w:val="24"/>
        </w:rPr>
        <w:t xml:space="preserve">5.1.5    </w:t>
      </w:r>
      <w:r>
        <w:rPr>
          <w:rFonts w:ascii="宋体" w:hAnsi="宋体" w:eastAsia="宋体" w:cs="宋体"/>
          <w:strike/>
          <w:sz w:val="24"/>
          <w:szCs w:val="24"/>
        </w:rPr>
        <w:t>太阳能集热系统的施工安装不得破坏建筑物的结</w:t>
      </w:r>
      <w:r>
        <w:rPr>
          <w:rFonts w:ascii="宋体" w:hAnsi="宋体" w:eastAsia="宋体" w:cs="宋体"/>
          <w:strike/>
          <w:spacing w:val="-1"/>
          <w:sz w:val="24"/>
          <w:szCs w:val="24"/>
        </w:rPr>
        <w:t>构、屋面、地面防水层和附属</w:t>
      </w:r>
      <w:r>
        <w:rPr>
          <w:rFonts w:ascii="宋体" w:hAnsi="宋体" w:eastAsia="宋体" w:cs="宋体"/>
          <w:sz w:val="24"/>
          <w:szCs w:val="24"/>
        </w:rPr>
        <w:t xml:space="preserve"> </w:t>
      </w:r>
      <w:r>
        <w:rPr>
          <w:rFonts w:ascii="宋体" w:hAnsi="宋体" w:eastAsia="宋体" w:cs="宋体"/>
          <w:strike/>
          <w:spacing w:val="-1"/>
          <w:sz w:val="24"/>
          <w:szCs w:val="24"/>
        </w:rPr>
        <w:t>设施，不得削弱建筑物承受荷载的能力。</w:t>
      </w:r>
    </w:p>
    <w:p w14:paraId="6F5E7159">
      <w:pPr>
        <w:spacing w:before="154" w:line="299" w:lineRule="auto"/>
        <w:ind w:left="6" w:firstLine="1"/>
        <w:rPr>
          <w:rFonts w:ascii="宋体" w:hAnsi="宋体" w:eastAsia="宋体" w:cs="宋体"/>
          <w:sz w:val="24"/>
          <w:szCs w:val="24"/>
        </w:rPr>
      </w:pPr>
      <w:r>
        <w:rPr>
          <w:rFonts w:ascii="Times New Roman" w:hAnsi="Times New Roman" w:eastAsia="Times New Roman" w:cs="Times New Roman"/>
          <w:strike/>
          <w:sz w:val="24"/>
          <w:szCs w:val="24"/>
        </w:rPr>
        <w:t xml:space="preserve">5.2.13    </w:t>
      </w:r>
      <w:r>
        <w:rPr>
          <w:rFonts w:ascii="宋体" w:hAnsi="宋体" w:eastAsia="宋体" w:cs="宋体"/>
          <w:strike/>
          <w:sz w:val="24"/>
          <w:szCs w:val="24"/>
        </w:rPr>
        <w:t>太阳能集热系统应安装防过热安全阀，其安装位</w:t>
      </w:r>
      <w:r>
        <w:rPr>
          <w:rFonts w:ascii="宋体" w:hAnsi="宋体" w:eastAsia="宋体" w:cs="宋体"/>
          <w:strike/>
          <w:spacing w:val="-1"/>
          <w:sz w:val="24"/>
          <w:szCs w:val="24"/>
        </w:rPr>
        <w:t>置应保证在泄压时排出的高温</w:t>
      </w:r>
      <w:r>
        <w:rPr>
          <w:rFonts w:ascii="宋体" w:hAnsi="宋体" w:eastAsia="宋体" w:cs="宋体"/>
          <w:sz w:val="24"/>
          <w:szCs w:val="24"/>
        </w:rPr>
        <w:t xml:space="preserve"> </w:t>
      </w:r>
      <w:r>
        <w:rPr>
          <w:rFonts w:ascii="宋体" w:hAnsi="宋体" w:eastAsia="宋体" w:cs="宋体"/>
          <w:strike/>
          <w:sz w:val="24"/>
          <w:szCs w:val="24"/>
        </w:rPr>
        <w:t>蒸汽、高温热水不致危及周围人员，并应配备相应的安全</w:t>
      </w:r>
      <w:r>
        <w:rPr>
          <w:rFonts w:ascii="宋体" w:hAnsi="宋体" w:eastAsia="宋体" w:cs="宋体"/>
          <w:strike/>
          <w:spacing w:val="-1"/>
          <w:sz w:val="24"/>
          <w:szCs w:val="24"/>
        </w:rPr>
        <w:t>措施。防过热安全阀设定的</w:t>
      </w:r>
      <w:r>
        <w:rPr>
          <w:rFonts w:ascii="宋体" w:hAnsi="宋体" w:eastAsia="宋体" w:cs="宋体"/>
          <w:sz w:val="24"/>
          <w:szCs w:val="24"/>
        </w:rPr>
        <w:t xml:space="preserve">  </w:t>
      </w:r>
      <w:r>
        <w:rPr>
          <w:rFonts w:ascii="宋体" w:hAnsi="宋体" w:eastAsia="宋体" w:cs="宋体"/>
          <w:strike/>
          <w:spacing w:val="-1"/>
          <w:sz w:val="24"/>
          <w:szCs w:val="24"/>
        </w:rPr>
        <w:t>开启压力应与系统可耐受的最高工作温度对应的饱和蒸汽压力</w:t>
      </w:r>
      <w:r>
        <w:rPr>
          <w:rFonts w:ascii="宋体" w:hAnsi="宋体" w:eastAsia="宋体" w:cs="宋体"/>
          <w:spacing w:val="-1"/>
          <w:sz w:val="24"/>
          <w:szCs w:val="24"/>
        </w:rPr>
        <w:t>一</w:t>
      </w:r>
      <w:r>
        <w:rPr>
          <w:rFonts w:ascii="宋体" w:hAnsi="宋体" w:eastAsia="宋体" w:cs="宋体"/>
          <w:strike/>
          <w:spacing w:val="-1"/>
          <w:sz w:val="24"/>
          <w:szCs w:val="24"/>
        </w:rPr>
        <w:t>致。</w:t>
      </w:r>
    </w:p>
    <w:p w14:paraId="3164F679">
      <w:pPr>
        <w:spacing w:before="201" w:line="226" w:lineRule="auto"/>
        <w:ind w:left="5"/>
        <w:outlineLvl w:val="2"/>
        <w:rPr>
          <w:rFonts w:ascii="宋体" w:hAnsi="宋体" w:eastAsia="宋体" w:cs="宋体"/>
          <w:sz w:val="27"/>
          <w:szCs w:val="27"/>
        </w:rPr>
      </w:pPr>
      <w:bookmarkStart w:id="84" w:name="bookmark130"/>
      <w:bookmarkEnd w:id="84"/>
      <w:r>
        <w:rPr>
          <w:rFonts w:ascii="Times New Roman" w:hAnsi="Times New Roman" w:eastAsia="Times New Roman" w:cs="Times New Roman"/>
          <w:b/>
          <w:bCs/>
          <w:spacing w:val="3"/>
          <w:sz w:val="27"/>
          <w:szCs w:val="27"/>
        </w:rPr>
        <w:t>8.</w:t>
      </w:r>
      <w:r>
        <w:rPr>
          <w:rFonts w:ascii="Times New Roman" w:hAnsi="Times New Roman" w:eastAsia="Times New Roman" w:cs="Times New Roman"/>
          <w:b/>
          <w:bCs/>
          <w:spacing w:val="-27"/>
          <w:sz w:val="27"/>
          <w:szCs w:val="27"/>
        </w:rPr>
        <w:t xml:space="preserve"> </w:t>
      </w:r>
      <w:r>
        <w:rPr>
          <w:rFonts w:ascii="宋体" w:hAnsi="宋体" w:eastAsia="宋体" w:cs="宋体"/>
          <w:b/>
          <w:bCs/>
          <w:spacing w:val="3"/>
          <w:sz w:val="27"/>
          <w:szCs w:val="27"/>
        </w:rPr>
        <w:t>《智能建筑工程施工规范》</w:t>
      </w:r>
      <w:r>
        <w:rPr>
          <w:rFonts w:ascii="宋体" w:hAnsi="宋体" w:eastAsia="宋体" w:cs="宋体"/>
          <w:spacing w:val="-79"/>
          <w:sz w:val="27"/>
          <w:szCs w:val="27"/>
        </w:rPr>
        <w:t xml:space="preserve"> </w:t>
      </w:r>
      <w:r>
        <w:rPr>
          <w:rFonts w:ascii="宋体" w:hAnsi="宋体" w:eastAsia="宋体" w:cs="宋体"/>
          <w:b/>
          <w:bCs/>
          <w:spacing w:val="3"/>
          <w:sz w:val="27"/>
          <w:szCs w:val="27"/>
        </w:rPr>
        <w:t>——</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3"/>
          <w:sz w:val="27"/>
          <w:szCs w:val="27"/>
        </w:rPr>
        <w:t>50606-2010</w:t>
      </w:r>
      <w:r>
        <w:rPr>
          <w:rFonts w:ascii="Times New Roman" w:hAnsi="Times New Roman" w:eastAsia="Times New Roman" w:cs="Times New Roman"/>
          <w:b/>
          <w:bCs/>
          <w:spacing w:val="-45"/>
          <w:sz w:val="27"/>
          <w:szCs w:val="27"/>
        </w:rPr>
        <w:t xml:space="preserve"> </w:t>
      </w:r>
      <w:r>
        <w:rPr>
          <w:rFonts w:ascii="宋体" w:hAnsi="宋体" w:eastAsia="宋体" w:cs="宋体"/>
          <w:b/>
          <w:bCs/>
          <w:spacing w:val="3"/>
          <w:sz w:val="27"/>
          <w:szCs w:val="27"/>
        </w:rPr>
        <w:t>【强条已废】</w:t>
      </w:r>
    </w:p>
    <w:p w14:paraId="5FF80A82">
      <w:pPr>
        <w:spacing w:before="286"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GB55024-2022 </w:t>
      </w:r>
      <w:r>
        <w:rPr>
          <w:rFonts w:ascii="宋体" w:hAnsi="宋体" w:eastAsia="宋体" w:cs="宋体"/>
          <w:b/>
          <w:bCs/>
          <w:color w:val="0563C1"/>
          <w:spacing w:val="-2"/>
          <w:sz w:val="24"/>
          <w:szCs w:val="24"/>
          <w:u w:val="single" w:color="auto"/>
        </w:rPr>
        <w:t>建筑电气与智能化通用规范</w:t>
      </w:r>
      <w:r>
        <w:rPr>
          <w:rFonts w:ascii="宋体" w:hAnsi="宋体" w:eastAsia="宋体" w:cs="宋体"/>
          <w:b/>
          <w:bCs/>
          <w:color w:val="EE0000"/>
          <w:spacing w:val="-2"/>
          <w:sz w:val="24"/>
          <w:szCs w:val="24"/>
        </w:rPr>
        <w:t>》替代</w:t>
      </w:r>
    </w:p>
    <w:p w14:paraId="7C12820C">
      <w:pPr>
        <w:spacing w:before="153"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4.1.1    </w:t>
      </w:r>
      <w:r>
        <w:rPr>
          <w:rFonts w:ascii="宋体" w:hAnsi="宋体" w:eastAsia="宋体" w:cs="宋体"/>
          <w:strike/>
          <w:sz w:val="24"/>
          <w:szCs w:val="24"/>
        </w:rPr>
        <w:t>电力线缆和信号线缆严禁在同</w:t>
      </w:r>
      <w:r>
        <w:rPr>
          <w:rFonts w:ascii="宋体" w:hAnsi="宋体" w:eastAsia="宋体" w:cs="宋体"/>
          <w:sz w:val="24"/>
          <w:szCs w:val="24"/>
        </w:rPr>
        <w:t>一</w:t>
      </w:r>
      <w:r>
        <w:rPr>
          <w:rFonts w:ascii="宋体" w:hAnsi="宋体" w:eastAsia="宋体" w:cs="宋体"/>
          <w:strike/>
          <w:sz w:val="24"/>
          <w:szCs w:val="24"/>
        </w:rPr>
        <w:t>线</w:t>
      </w:r>
      <w:r>
        <w:rPr>
          <w:rFonts w:ascii="宋体" w:hAnsi="宋体" w:eastAsia="宋体" w:cs="宋体"/>
          <w:strike/>
          <w:spacing w:val="-1"/>
          <w:sz w:val="24"/>
          <w:szCs w:val="24"/>
        </w:rPr>
        <w:t>管内敷设。</w:t>
      </w:r>
    </w:p>
    <w:p w14:paraId="0D1EA111">
      <w:pPr>
        <w:spacing w:before="155" w:line="220"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8.2.5    </w:t>
      </w:r>
      <w:r>
        <w:rPr>
          <w:rFonts w:ascii="宋体" w:hAnsi="宋体" w:eastAsia="宋体" w:cs="宋体"/>
          <w:strike/>
          <w:spacing w:val="-1"/>
          <w:sz w:val="24"/>
          <w:szCs w:val="24"/>
        </w:rPr>
        <w:t>扬声器系统的安装应符合下列规定：</w:t>
      </w:r>
    </w:p>
    <w:p w14:paraId="0BEDC1C8">
      <w:pPr>
        <w:spacing w:before="154" w:line="219" w:lineRule="auto"/>
        <w:jc w:val="right"/>
        <w:rPr>
          <w:rFonts w:ascii="宋体" w:hAnsi="宋体" w:eastAsia="宋体" w:cs="宋体"/>
          <w:sz w:val="24"/>
          <w:szCs w:val="24"/>
        </w:rPr>
      </w:pPr>
      <w:r>
        <w:rPr>
          <w:rFonts w:ascii="Times New Roman" w:hAnsi="Times New Roman" w:eastAsia="Times New Roman" w:cs="Times New Roman"/>
          <w:strike/>
          <w:spacing w:val="-1"/>
          <w:sz w:val="24"/>
          <w:szCs w:val="24"/>
        </w:rPr>
        <w:t xml:space="preserve">10  </w:t>
      </w:r>
      <w:r>
        <w:rPr>
          <w:rFonts w:ascii="宋体" w:hAnsi="宋体" w:eastAsia="宋体" w:cs="宋体"/>
          <w:strike/>
          <w:spacing w:val="-1"/>
          <w:sz w:val="24"/>
          <w:szCs w:val="24"/>
        </w:rPr>
        <w:t>用于火灾隐患区的扬声器应由阻燃材料制成或采用阻燃后罩；广播扬声器在短</w:t>
      </w:r>
    </w:p>
    <w:p w14:paraId="40A0F085">
      <w:pPr>
        <w:spacing w:line="219" w:lineRule="auto"/>
        <w:rPr>
          <w:rFonts w:ascii="宋体" w:hAnsi="宋体" w:eastAsia="宋体" w:cs="宋体"/>
          <w:sz w:val="24"/>
          <w:szCs w:val="24"/>
        </w:rPr>
        <w:sectPr>
          <w:footerReference r:id="rId63" w:type="default"/>
          <w:pgSz w:w="11907" w:h="16839"/>
          <w:pgMar w:top="400" w:right="1489" w:bottom="743" w:left="1421" w:header="0" w:footer="582" w:gutter="0"/>
          <w:cols w:space="720" w:num="1"/>
        </w:sectPr>
      </w:pPr>
    </w:p>
    <w:p w14:paraId="5332148B">
      <w:pPr>
        <w:pStyle w:val="2"/>
        <w:spacing w:line="303" w:lineRule="auto"/>
      </w:pPr>
    </w:p>
    <w:p w14:paraId="575A5C5F">
      <w:pPr>
        <w:pStyle w:val="2"/>
        <w:spacing w:line="303" w:lineRule="auto"/>
      </w:pPr>
    </w:p>
    <w:p w14:paraId="76A14B11">
      <w:pPr>
        <w:pStyle w:val="2"/>
        <w:spacing w:line="303" w:lineRule="auto"/>
      </w:pPr>
    </w:p>
    <w:p w14:paraId="443F30E3">
      <w:pPr>
        <w:spacing w:before="78" w:line="218" w:lineRule="auto"/>
        <w:ind w:left="9"/>
        <w:rPr>
          <w:rFonts w:ascii="宋体" w:hAnsi="宋体" w:eastAsia="宋体" w:cs="宋体"/>
          <w:sz w:val="24"/>
          <w:szCs w:val="24"/>
        </w:rPr>
      </w:pPr>
      <w:r>
        <w:rPr>
          <w:rFonts w:ascii="宋体" w:hAnsi="宋体" w:eastAsia="宋体" w:cs="宋体"/>
          <w:strike/>
          <w:spacing w:val="-1"/>
          <w:sz w:val="24"/>
          <w:szCs w:val="24"/>
        </w:rPr>
        <w:t>期喷淋的条件下应能正常工作。</w:t>
      </w:r>
    </w:p>
    <w:p w14:paraId="5EC67D48">
      <w:pPr>
        <w:spacing w:before="156" w:line="219"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9.2.1    </w:t>
      </w:r>
      <w:r>
        <w:rPr>
          <w:rFonts w:ascii="宋体" w:hAnsi="宋体" w:eastAsia="宋体" w:cs="宋体"/>
          <w:strike/>
          <w:spacing w:val="-1"/>
          <w:sz w:val="24"/>
          <w:szCs w:val="24"/>
        </w:rPr>
        <w:t>桥架、管线敷设除应执行本规范第</w:t>
      </w:r>
      <w:r>
        <w:rPr>
          <w:rFonts w:ascii="宋体" w:hAnsi="宋体" w:eastAsia="宋体" w:cs="宋体"/>
          <w:strike/>
          <w:spacing w:val="-48"/>
          <w:sz w:val="24"/>
          <w:szCs w:val="24"/>
        </w:rPr>
        <w:t xml:space="preserve"> </w:t>
      </w:r>
      <w:r>
        <w:rPr>
          <w:rFonts w:ascii="Times New Roman" w:hAnsi="Times New Roman" w:eastAsia="Times New Roman" w:cs="Times New Roman"/>
          <w:strike/>
          <w:spacing w:val="-1"/>
          <w:sz w:val="24"/>
          <w:szCs w:val="24"/>
        </w:rPr>
        <w:t>4</w:t>
      </w:r>
      <w:r>
        <w:rPr>
          <w:rFonts w:ascii="Times New Roman" w:hAnsi="Times New Roman" w:eastAsia="Times New Roman" w:cs="Times New Roman"/>
          <w:strike/>
          <w:spacing w:val="18"/>
          <w:sz w:val="24"/>
          <w:szCs w:val="24"/>
        </w:rPr>
        <w:t xml:space="preserve"> </w:t>
      </w:r>
      <w:r>
        <w:rPr>
          <w:rFonts w:ascii="宋体" w:hAnsi="宋体" w:eastAsia="宋体" w:cs="宋体"/>
          <w:strike/>
          <w:spacing w:val="-1"/>
          <w:sz w:val="24"/>
          <w:szCs w:val="24"/>
        </w:rPr>
        <w:t>章的规定外，尚应符合下列要求：</w:t>
      </w:r>
    </w:p>
    <w:p w14:paraId="74CBF0E6">
      <w:pPr>
        <w:spacing w:before="154" w:line="339" w:lineRule="auto"/>
        <w:ind w:left="7" w:right="174" w:firstLine="479"/>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当广播系统具备消防应急广播功能时，应采用阻燃线</w:t>
      </w:r>
      <w:r>
        <w:rPr>
          <w:rFonts w:ascii="宋体" w:hAnsi="宋体" w:eastAsia="宋体" w:cs="宋体"/>
          <w:strike/>
          <w:spacing w:val="-1"/>
          <w:sz w:val="24"/>
          <w:szCs w:val="24"/>
        </w:rPr>
        <w:t>槽、阻燃线管和阻燃线缆</w:t>
      </w:r>
      <w:r>
        <w:rPr>
          <w:rFonts w:ascii="宋体" w:hAnsi="宋体" w:eastAsia="宋体" w:cs="宋体"/>
          <w:sz w:val="24"/>
          <w:szCs w:val="24"/>
        </w:rPr>
        <w:t xml:space="preserve"> </w:t>
      </w:r>
      <w:r>
        <w:rPr>
          <w:rFonts w:ascii="宋体" w:hAnsi="宋体" w:eastAsia="宋体" w:cs="宋体"/>
          <w:strike/>
          <w:spacing w:val="-3"/>
          <w:sz w:val="24"/>
          <w:szCs w:val="24"/>
        </w:rPr>
        <w:t>敷设；</w:t>
      </w:r>
    </w:p>
    <w:p w14:paraId="1ACF0355">
      <w:pPr>
        <w:spacing w:line="338" w:lineRule="auto"/>
        <w:ind w:right="61" w:firstLine="5"/>
        <w:rPr>
          <w:rFonts w:ascii="宋体" w:hAnsi="宋体" w:eastAsia="宋体" w:cs="宋体"/>
          <w:sz w:val="24"/>
          <w:szCs w:val="24"/>
        </w:rPr>
      </w:pPr>
      <w:r>
        <w:rPr>
          <w:rFonts w:ascii="Times New Roman" w:hAnsi="Times New Roman" w:eastAsia="Times New Roman" w:cs="Times New Roman"/>
          <w:strike/>
          <w:sz w:val="24"/>
          <w:szCs w:val="24"/>
        </w:rPr>
        <w:t xml:space="preserve">9.3.1    </w:t>
      </w:r>
      <w:r>
        <w:rPr>
          <w:rFonts w:ascii="宋体" w:hAnsi="宋体" w:eastAsia="宋体" w:cs="宋体"/>
          <w:strike/>
          <w:sz w:val="24"/>
          <w:szCs w:val="24"/>
        </w:rPr>
        <w:t>主控项目应符合现行国家标准《智能建筑工程质量验收规范》</w:t>
      </w:r>
      <w:r>
        <w:rPr>
          <w:rFonts w:ascii="Times New Roman" w:hAnsi="Times New Roman" w:eastAsia="Times New Roman" w:cs="Times New Roman"/>
          <w:strike/>
          <w:sz w:val="24"/>
          <w:szCs w:val="24"/>
        </w:rPr>
        <w:t>GB</w:t>
      </w:r>
      <w:r>
        <w:rPr>
          <w:rFonts w:ascii="Times New Roman" w:hAnsi="Times New Roman" w:eastAsia="Times New Roman" w:cs="Times New Roman"/>
          <w:strike/>
          <w:spacing w:val="-1"/>
          <w:sz w:val="24"/>
          <w:szCs w:val="24"/>
        </w:rPr>
        <w:t xml:space="preserve">50339-2003 </w:t>
      </w:r>
      <w:r>
        <w:rPr>
          <w:rFonts w:ascii="宋体" w:hAnsi="宋体" w:eastAsia="宋体" w:cs="宋体"/>
          <w:strike/>
          <w:spacing w:val="-1"/>
          <w:sz w:val="24"/>
          <w:szCs w:val="24"/>
        </w:rPr>
        <w:t>第</w:t>
      </w:r>
      <w:r>
        <w:rPr>
          <w:rFonts w:ascii="宋体" w:hAnsi="宋体" w:eastAsia="宋体" w:cs="宋体"/>
          <w:sz w:val="24"/>
          <w:szCs w:val="24"/>
        </w:rPr>
        <w:t xml:space="preserve"> </w:t>
      </w:r>
      <w:r>
        <w:rPr>
          <w:rFonts w:ascii="Times New Roman" w:hAnsi="Times New Roman" w:eastAsia="Times New Roman" w:cs="Times New Roman"/>
          <w:strike/>
          <w:spacing w:val="-1"/>
          <w:sz w:val="24"/>
          <w:szCs w:val="24"/>
        </w:rPr>
        <w:t xml:space="preserve">4.2.10 </w:t>
      </w:r>
      <w:r>
        <w:rPr>
          <w:rFonts w:ascii="宋体" w:hAnsi="宋体" w:eastAsia="宋体" w:cs="宋体"/>
          <w:strike/>
          <w:spacing w:val="-1"/>
          <w:sz w:val="24"/>
          <w:szCs w:val="24"/>
        </w:rPr>
        <w:t>条规定外，尚应符合下列规定：</w:t>
      </w:r>
    </w:p>
    <w:p w14:paraId="526C190E">
      <w:pPr>
        <w:tabs>
          <w:tab w:val="left" w:pos="8850"/>
          <w:tab w:val="left" w:pos="8875"/>
        </w:tabs>
        <w:spacing w:before="6" w:line="333" w:lineRule="auto"/>
        <w:ind w:left="10" w:right="173" w:firstLine="471"/>
        <w:jc w:val="both"/>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当广播系统具有紧急广播功能时，其紧急广播应由消防分机控</w:t>
      </w:r>
      <w:r>
        <w:rPr>
          <w:rFonts w:ascii="宋体" w:hAnsi="宋体" w:eastAsia="宋体" w:cs="宋体"/>
          <w:strike/>
          <w:spacing w:val="-1"/>
          <w:sz w:val="24"/>
          <w:szCs w:val="24"/>
        </w:rPr>
        <w:t>制，并由具有最</w:t>
      </w:r>
      <w:r>
        <w:rPr>
          <w:rFonts w:ascii="宋体" w:hAnsi="宋体" w:eastAsia="宋体" w:cs="宋体"/>
          <w:sz w:val="24"/>
          <w:szCs w:val="24"/>
        </w:rPr>
        <w:t xml:space="preserve"> </w:t>
      </w:r>
      <w:r>
        <w:rPr>
          <w:rFonts w:ascii="宋体" w:hAnsi="宋体" w:eastAsia="宋体" w:cs="宋体"/>
          <w:strike/>
          <w:spacing w:val="-5"/>
          <w:sz w:val="24"/>
          <w:szCs w:val="24"/>
        </w:rPr>
        <w:t>高优先权；在火灾和突发事故发生时，应能强制切换为紧急广播并以最大音量播出。</w:t>
      </w:r>
      <w:r>
        <w:rPr>
          <w:rFonts w:ascii="宋体" w:hAnsi="宋体" w:eastAsia="宋体" w:cs="宋体"/>
          <w:strike/>
          <w:sz w:val="24"/>
          <w:szCs w:val="24"/>
        </w:rPr>
        <w:tab/>
      </w:r>
      <w:r>
        <w:rPr>
          <w:rFonts w:ascii="宋体" w:hAnsi="宋体" w:eastAsia="宋体" w:cs="宋体"/>
          <w:strike/>
          <w:sz w:val="24"/>
          <w:szCs w:val="24"/>
        </w:rPr>
        <w:tab/>
      </w:r>
      <w:r>
        <w:rPr>
          <w:rFonts w:ascii="宋体" w:hAnsi="宋体" w:eastAsia="宋体" w:cs="宋体"/>
          <w:sz w:val="24"/>
          <w:szCs w:val="24"/>
        </w:rPr>
        <w:t xml:space="preserve"> </w:t>
      </w:r>
      <w:r>
        <w:rPr>
          <w:rFonts w:ascii="宋体" w:hAnsi="宋体" w:eastAsia="宋体" w:cs="宋体"/>
          <w:strike/>
          <w:spacing w:val="-6"/>
          <w:sz w:val="24"/>
          <w:szCs w:val="24"/>
        </w:rPr>
        <w:t>系统应能在手动或警报信号触发的</w:t>
      </w:r>
      <w:r>
        <w:rPr>
          <w:rFonts w:ascii="宋体" w:hAnsi="宋体" w:eastAsia="宋体" w:cs="宋体"/>
          <w:strike/>
          <w:spacing w:val="-32"/>
          <w:sz w:val="24"/>
          <w:szCs w:val="24"/>
        </w:rPr>
        <w:t xml:space="preserve"> </w:t>
      </w:r>
      <w:r>
        <w:rPr>
          <w:rFonts w:ascii="Times New Roman" w:hAnsi="Times New Roman" w:eastAsia="Times New Roman" w:cs="Times New Roman"/>
          <w:strike/>
          <w:spacing w:val="-6"/>
          <w:sz w:val="24"/>
          <w:szCs w:val="24"/>
        </w:rPr>
        <w:t>10s</w:t>
      </w:r>
      <w:r>
        <w:rPr>
          <w:rFonts w:ascii="Times New Roman" w:hAnsi="Times New Roman" w:eastAsia="Times New Roman" w:cs="Times New Roman"/>
          <w:strike/>
          <w:spacing w:val="39"/>
          <w:sz w:val="24"/>
          <w:szCs w:val="24"/>
        </w:rPr>
        <w:t xml:space="preserve"> </w:t>
      </w:r>
      <w:r>
        <w:rPr>
          <w:rFonts w:ascii="宋体" w:hAnsi="宋体" w:eastAsia="宋体" w:cs="宋体"/>
          <w:strike/>
          <w:spacing w:val="-6"/>
          <w:sz w:val="24"/>
          <w:szCs w:val="24"/>
        </w:rPr>
        <w:t>内，向相关广播区播放警示</w:t>
      </w:r>
      <w:r>
        <w:rPr>
          <w:rFonts w:ascii="宋体" w:hAnsi="宋体" w:eastAsia="宋体" w:cs="宋体"/>
          <w:strike/>
          <w:spacing w:val="-7"/>
          <w:sz w:val="24"/>
          <w:szCs w:val="24"/>
        </w:rPr>
        <w:t>信号（含警笛）、</w:t>
      </w:r>
      <w:r>
        <w:rPr>
          <w:rFonts w:ascii="宋体" w:hAnsi="宋体" w:eastAsia="宋体" w:cs="宋体"/>
          <w:strike/>
          <w:sz w:val="24"/>
          <w:szCs w:val="24"/>
        </w:rPr>
        <w:tab/>
      </w:r>
      <w:r>
        <w:rPr>
          <w:rFonts w:ascii="宋体" w:hAnsi="宋体" w:eastAsia="宋体" w:cs="宋体"/>
          <w:sz w:val="24"/>
          <w:szCs w:val="24"/>
        </w:rPr>
        <w:t xml:space="preserve"> </w:t>
      </w:r>
      <w:r>
        <w:rPr>
          <w:rFonts w:ascii="宋体" w:hAnsi="宋体" w:eastAsia="宋体" w:cs="宋体"/>
          <w:strike/>
          <w:sz w:val="24"/>
          <w:szCs w:val="24"/>
        </w:rPr>
        <w:t>警报语声文件或实时指挥语声。以现场环境噪声为</w:t>
      </w:r>
      <w:r>
        <w:rPr>
          <w:rFonts w:ascii="宋体" w:hAnsi="宋体" w:eastAsia="宋体" w:cs="宋体"/>
          <w:strike/>
          <w:spacing w:val="-1"/>
          <w:sz w:val="24"/>
          <w:szCs w:val="24"/>
        </w:rPr>
        <w:t>基准，紧急广播的信噪比不应小于</w:t>
      </w:r>
      <w:r>
        <w:rPr>
          <w:rFonts w:ascii="宋体" w:hAnsi="宋体" w:eastAsia="宋体" w:cs="宋体"/>
          <w:sz w:val="24"/>
          <w:szCs w:val="24"/>
        </w:rPr>
        <w:t xml:space="preserve"> </w:t>
      </w:r>
      <w:r>
        <w:rPr>
          <w:rFonts w:ascii="Times New Roman" w:hAnsi="Times New Roman" w:eastAsia="Times New Roman" w:cs="Times New Roman"/>
          <w:strike/>
          <w:spacing w:val="-3"/>
          <w:sz w:val="24"/>
          <w:szCs w:val="24"/>
        </w:rPr>
        <w:t>15dB</w:t>
      </w:r>
      <w:r>
        <w:rPr>
          <w:rFonts w:ascii="Times New Roman" w:hAnsi="Times New Roman" w:eastAsia="Times New Roman" w:cs="Times New Roman"/>
          <w:strike/>
          <w:spacing w:val="-27"/>
          <w:sz w:val="24"/>
          <w:szCs w:val="24"/>
        </w:rPr>
        <w:t xml:space="preserve"> </w:t>
      </w:r>
      <w:r>
        <w:rPr>
          <w:rFonts w:ascii="宋体" w:hAnsi="宋体" w:eastAsia="宋体" w:cs="宋体"/>
          <w:strike/>
          <w:spacing w:val="-3"/>
          <w:sz w:val="24"/>
          <w:szCs w:val="24"/>
        </w:rPr>
        <w:t>。</w:t>
      </w:r>
    </w:p>
    <w:p w14:paraId="20E296E7">
      <w:pPr>
        <w:spacing w:before="77" w:line="226" w:lineRule="auto"/>
        <w:ind w:left="5"/>
        <w:outlineLvl w:val="2"/>
        <w:rPr>
          <w:rFonts w:ascii="宋体" w:hAnsi="宋体" w:eastAsia="宋体" w:cs="宋体"/>
          <w:sz w:val="27"/>
          <w:szCs w:val="27"/>
        </w:rPr>
      </w:pPr>
      <w:bookmarkStart w:id="85" w:name="bookmark131"/>
      <w:bookmarkEnd w:id="85"/>
      <w:r>
        <w:rPr>
          <w:rFonts w:ascii="Times New Roman" w:hAnsi="Times New Roman" w:eastAsia="Times New Roman" w:cs="Times New Roman"/>
          <w:b/>
          <w:bCs/>
          <w:spacing w:val="6"/>
          <w:sz w:val="27"/>
          <w:szCs w:val="27"/>
        </w:rPr>
        <w:t>9.</w:t>
      </w:r>
      <w:r>
        <w:rPr>
          <w:rFonts w:ascii="Times New Roman" w:hAnsi="Times New Roman" w:eastAsia="Times New Roman" w:cs="Times New Roman"/>
          <w:b/>
          <w:bCs/>
          <w:spacing w:val="-34"/>
          <w:sz w:val="27"/>
          <w:szCs w:val="27"/>
        </w:rPr>
        <w:t xml:space="preserve"> </w:t>
      </w:r>
      <w:r>
        <w:rPr>
          <w:rFonts w:ascii="宋体" w:hAnsi="宋体" w:eastAsia="宋体" w:cs="宋体"/>
          <w:b/>
          <w:bCs/>
          <w:spacing w:val="6"/>
          <w:sz w:val="27"/>
          <w:szCs w:val="27"/>
        </w:rPr>
        <w:t>《民用建筑太阳能空调工程技术规范》——</w:t>
      </w:r>
      <w:r>
        <w:rPr>
          <w:rFonts w:ascii="Times New Roman" w:hAnsi="Times New Roman" w:eastAsia="Times New Roman" w:cs="Times New Roman"/>
          <w:b/>
          <w:bCs/>
          <w:sz w:val="27"/>
          <w:szCs w:val="27"/>
        </w:rPr>
        <w:t>GB</w:t>
      </w:r>
      <w:r>
        <w:rPr>
          <w:rFonts w:ascii="Times New Roman" w:hAnsi="Times New Roman" w:eastAsia="Times New Roman" w:cs="Times New Roman"/>
          <w:b/>
          <w:bCs/>
          <w:spacing w:val="6"/>
          <w:sz w:val="27"/>
          <w:szCs w:val="27"/>
        </w:rPr>
        <w:t>50787-2012</w:t>
      </w:r>
      <w:r>
        <w:rPr>
          <w:rFonts w:ascii="宋体" w:hAnsi="宋体" w:eastAsia="宋体" w:cs="宋体"/>
          <w:b/>
          <w:bCs/>
          <w:spacing w:val="6"/>
          <w:sz w:val="27"/>
          <w:szCs w:val="27"/>
        </w:rPr>
        <w:t>【强条已废】</w:t>
      </w:r>
    </w:p>
    <w:p w14:paraId="56CCB1A1">
      <w:pPr>
        <w:spacing w:before="285" w:line="220" w:lineRule="auto"/>
        <w:ind w:left="33"/>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GB55015-2021 </w:t>
      </w:r>
      <w:r>
        <w:rPr>
          <w:rFonts w:ascii="宋体" w:hAnsi="宋体" w:eastAsia="宋体" w:cs="宋体"/>
          <w:b/>
          <w:bCs/>
          <w:color w:val="0563C1"/>
          <w:spacing w:val="-2"/>
          <w:sz w:val="24"/>
          <w:szCs w:val="24"/>
          <w:u w:val="single" w:color="auto"/>
        </w:rPr>
        <w:t>建筑节能与可再生能源利用通用规范</w:t>
      </w:r>
      <w:r>
        <w:rPr>
          <w:rFonts w:ascii="宋体" w:hAnsi="宋体" w:eastAsia="宋体" w:cs="宋体"/>
          <w:b/>
          <w:bCs/>
          <w:color w:val="EE0000"/>
          <w:spacing w:val="-2"/>
          <w:sz w:val="24"/>
          <w:szCs w:val="24"/>
        </w:rPr>
        <w:t>》替代</w:t>
      </w:r>
    </w:p>
    <w:p w14:paraId="39BAEF8A">
      <w:pPr>
        <w:spacing w:before="155" w:line="279" w:lineRule="auto"/>
        <w:ind w:left="9" w:right="173" w:firstLine="15"/>
        <w:rPr>
          <w:rFonts w:ascii="宋体" w:hAnsi="宋体" w:eastAsia="宋体" w:cs="宋体"/>
          <w:sz w:val="24"/>
          <w:szCs w:val="24"/>
        </w:rPr>
      </w:pPr>
      <w:r>
        <w:rPr>
          <w:rFonts w:ascii="Times New Roman" w:hAnsi="Times New Roman" w:eastAsia="Times New Roman" w:cs="Times New Roman"/>
          <w:strike/>
          <w:spacing w:val="-1"/>
          <w:sz w:val="24"/>
          <w:szCs w:val="24"/>
        </w:rPr>
        <w:t xml:space="preserve">1.0.4    </w:t>
      </w:r>
      <w:r>
        <w:rPr>
          <w:rFonts w:ascii="宋体" w:hAnsi="宋体" w:eastAsia="宋体" w:cs="宋体"/>
          <w:strike/>
          <w:spacing w:val="-1"/>
          <w:sz w:val="24"/>
          <w:szCs w:val="24"/>
        </w:rPr>
        <w:t>在既有建筑上增设或改造太阳能空调系统，必须经过建筑结构安全复核，满足</w:t>
      </w:r>
      <w:r>
        <w:rPr>
          <w:rFonts w:ascii="宋体" w:hAnsi="宋体" w:eastAsia="宋体" w:cs="宋体"/>
          <w:spacing w:val="13"/>
          <w:sz w:val="24"/>
          <w:szCs w:val="24"/>
        </w:rPr>
        <w:t xml:space="preserve"> </w:t>
      </w:r>
      <w:r>
        <w:rPr>
          <w:rFonts w:ascii="宋体" w:hAnsi="宋体" w:eastAsia="宋体" w:cs="宋体"/>
          <w:strike/>
          <w:sz w:val="24"/>
          <w:szCs w:val="24"/>
        </w:rPr>
        <w:t>建筑结构及其他相应的安全性要求，并通过施工图设</w:t>
      </w:r>
      <w:r>
        <w:rPr>
          <w:rFonts w:ascii="宋体" w:hAnsi="宋体" w:eastAsia="宋体" w:cs="宋体"/>
          <w:strike/>
          <w:spacing w:val="-1"/>
          <w:sz w:val="24"/>
          <w:szCs w:val="24"/>
        </w:rPr>
        <w:t>计文件审查合格后，方可实施。</w:t>
      </w:r>
    </w:p>
    <w:p w14:paraId="2B80DA90">
      <w:pPr>
        <w:spacing w:before="154" w:line="279" w:lineRule="auto"/>
        <w:ind w:left="10" w:right="413" w:hanging="4"/>
        <w:rPr>
          <w:rFonts w:ascii="宋体" w:hAnsi="宋体" w:eastAsia="宋体" w:cs="宋体"/>
          <w:sz w:val="24"/>
          <w:szCs w:val="24"/>
        </w:rPr>
      </w:pPr>
      <w:r>
        <w:rPr>
          <w:rFonts w:ascii="Times New Roman" w:hAnsi="Times New Roman" w:eastAsia="Times New Roman" w:cs="Times New Roman"/>
          <w:strike/>
          <w:sz w:val="24"/>
          <w:szCs w:val="24"/>
        </w:rPr>
        <w:t xml:space="preserve">3.0.6    </w:t>
      </w:r>
      <w:r>
        <w:rPr>
          <w:rFonts w:ascii="宋体" w:hAnsi="宋体" w:eastAsia="宋体" w:cs="宋体"/>
          <w:strike/>
          <w:sz w:val="24"/>
          <w:szCs w:val="24"/>
        </w:rPr>
        <w:t>太阳能集热系统应根据不同地区和使用条件采取防</w:t>
      </w:r>
      <w:r>
        <w:rPr>
          <w:rFonts w:ascii="宋体" w:hAnsi="宋体" w:eastAsia="宋体" w:cs="宋体"/>
          <w:strike/>
          <w:spacing w:val="-1"/>
          <w:sz w:val="24"/>
          <w:szCs w:val="24"/>
        </w:rPr>
        <w:t>过热、防冻、防结垢、防</w:t>
      </w:r>
      <w:r>
        <w:rPr>
          <w:rFonts w:ascii="宋体" w:hAnsi="宋体" w:eastAsia="宋体" w:cs="宋体"/>
          <w:sz w:val="24"/>
          <w:szCs w:val="24"/>
        </w:rPr>
        <w:t xml:space="preserve"> </w:t>
      </w:r>
      <w:r>
        <w:rPr>
          <w:rFonts w:ascii="宋体" w:hAnsi="宋体" w:eastAsia="宋体" w:cs="宋体"/>
          <w:strike/>
          <w:spacing w:val="-1"/>
          <w:sz w:val="24"/>
          <w:szCs w:val="24"/>
        </w:rPr>
        <w:t>雷、防雹、抗风、抗震和保证电气安全等技术措施。</w:t>
      </w:r>
    </w:p>
    <w:p w14:paraId="7E08EE41">
      <w:pPr>
        <w:spacing w:before="155" w:line="279" w:lineRule="auto"/>
        <w:ind w:left="25" w:right="174" w:hanging="17"/>
        <w:rPr>
          <w:rFonts w:ascii="宋体" w:hAnsi="宋体" w:eastAsia="宋体" w:cs="宋体"/>
          <w:sz w:val="24"/>
          <w:szCs w:val="24"/>
        </w:rPr>
      </w:pPr>
      <w:r>
        <w:rPr>
          <w:rFonts w:ascii="Times New Roman" w:hAnsi="Times New Roman" w:eastAsia="Times New Roman" w:cs="Times New Roman"/>
          <w:strike/>
          <w:sz w:val="24"/>
          <w:szCs w:val="24"/>
        </w:rPr>
        <w:t xml:space="preserve">5.3.3    </w:t>
      </w:r>
      <w:r>
        <w:rPr>
          <w:rFonts w:ascii="宋体" w:hAnsi="宋体" w:eastAsia="宋体" w:cs="宋体"/>
          <w:strike/>
          <w:sz w:val="24"/>
          <w:szCs w:val="24"/>
        </w:rPr>
        <w:t>安装太阳能集热器的建筑部位，应设置防止太阳</w:t>
      </w:r>
      <w:r>
        <w:rPr>
          <w:rFonts w:ascii="宋体" w:hAnsi="宋体" w:eastAsia="宋体" w:cs="宋体"/>
          <w:strike/>
          <w:spacing w:val="-1"/>
          <w:sz w:val="24"/>
          <w:szCs w:val="24"/>
        </w:rPr>
        <w:t>能集热器损坏后部件坠落伤人</w:t>
      </w:r>
      <w:r>
        <w:rPr>
          <w:rFonts w:ascii="宋体" w:hAnsi="宋体" w:eastAsia="宋体" w:cs="宋体"/>
          <w:sz w:val="24"/>
          <w:szCs w:val="24"/>
        </w:rPr>
        <w:t xml:space="preserve"> </w:t>
      </w:r>
      <w:r>
        <w:rPr>
          <w:rFonts w:ascii="宋体" w:hAnsi="宋体" w:eastAsia="宋体" w:cs="宋体"/>
          <w:strike/>
          <w:spacing w:val="-4"/>
          <w:sz w:val="24"/>
          <w:szCs w:val="24"/>
        </w:rPr>
        <w:t>的安全防护设施。</w:t>
      </w:r>
    </w:p>
    <w:p w14:paraId="288253D3">
      <w:pPr>
        <w:spacing w:before="154" w:line="279" w:lineRule="auto"/>
        <w:ind w:left="8" w:right="174"/>
        <w:rPr>
          <w:rFonts w:ascii="宋体" w:hAnsi="宋体" w:eastAsia="宋体" w:cs="宋体"/>
          <w:sz w:val="24"/>
          <w:szCs w:val="24"/>
        </w:rPr>
      </w:pPr>
      <w:r>
        <w:rPr>
          <w:rFonts w:ascii="Times New Roman" w:hAnsi="Times New Roman" w:eastAsia="Times New Roman" w:cs="Times New Roman"/>
          <w:strike/>
          <w:sz w:val="24"/>
          <w:szCs w:val="24"/>
        </w:rPr>
        <w:t xml:space="preserve">5.4.2    </w:t>
      </w:r>
      <w:r>
        <w:rPr>
          <w:rFonts w:ascii="宋体" w:hAnsi="宋体" w:eastAsia="宋体" w:cs="宋体"/>
          <w:strike/>
          <w:sz w:val="24"/>
          <w:szCs w:val="24"/>
        </w:rPr>
        <w:t>结构设计应为太阳能空调系统安装埋设预埋件或</w:t>
      </w:r>
      <w:r>
        <w:rPr>
          <w:rFonts w:ascii="宋体" w:hAnsi="宋体" w:eastAsia="宋体" w:cs="宋体"/>
          <w:strike/>
          <w:spacing w:val="-1"/>
          <w:sz w:val="24"/>
          <w:szCs w:val="24"/>
        </w:rPr>
        <w:t>其他连接件。连接件与主体结</w:t>
      </w:r>
      <w:r>
        <w:rPr>
          <w:rFonts w:ascii="宋体" w:hAnsi="宋体" w:eastAsia="宋体" w:cs="宋体"/>
          <w:sz w:val="24"/>
          <w:szCs w:val="24"/>
        </w:rPr>
        <w:t xml:space="preserve"> </w:t>
      </w:r>
      <w:r>
        <w:rPr>
          <w:rFonts w:ascii="宋体" w:hAnsi="宋体" w:eastAsia="宋体" w:cs="宋体"/>
          <w:strike/>
          <w:spacing w:val="-1"/>
          <w:sz w:val="24"/>
          <w:szCs w:val="24"/>
        </w:rPr>
        <w:t>构的锚固承载力设计值应大于连接件本身的承载力设计值。</w:t>
      </w:r>
    </w:p>
    <w:p w14:paraId="442415E4">
      <w:pPr>
        <w:spacing w:before="153" w:line="280" w:lineRule="auto"/>
        <w:ind w:left="6" w:right="174" w:firstLine="2"/>
        <w:rPr>
          <w:rFonts w:ascii="宋体" w:hAnsi="宋体" w:eastAsia="宋体" w:cs="宋体"/>
          <w:sz w:val="24"/>
          <w:szCs w:val="24"/>
        </w:rPr>
      </w:pPr>
      <w:r>
        <w:rPr>
          <w:rFonts w:ascii="Times New Roman" w:hAnsi="Times New Roman" w:eastAsia="Times New Roman" w:cs="Times New Roman"/>
          <w:strike/>
          <w:sz w:val="24"/>
          <w:szCs w:val="24"/>
        </w:rPr>
        <w:t xml:space="preserve">5.6.2    </w:t>
      </w:r>
      <w:r>
        <w:rPr>
          <w:rFonts w:ascii="宋体" w:hAnsi="宋体" w:eastAsia="宋体" w:cs="宋体"/>
          <w:strike/>
          <w:sz w:val="24"/>
          <w:szCs w:val="24"/>
        </w:rPr>
        <w:t>太阳能空调系统中所使用的电气设备应设置剩余</w:t>
      </w:r>
      <w:r>
        <w:rPr>
          <w:rFonts w:ascii="宋体" w:hAnsi="宋体" w:eastAsia="宋体" w:cs="宋体"/>
          <w:strike/>
          <w:spacing w:val="-1"/>
          <w:sz w:val="24"/>
          <w:szCs w:val="24"/>
        </w:rPr>
        <w:t>电流保护、接地和断电等安全</w:t>
      </w:r>
      <w:r>
        <w:rPr>
          <w:rFonts w:ascii="宋体" w:hAnsi="宋体" w:eastAsia="宋体" w:cs="宋体"/>
          <w:sz w:val="24"/>
          <w:szCs w:val="24"/>
        </w:rPr>
        <w:t xml:space="preserve"> </w:t>
      </w:r>
      <w:r>
        <w:rPr>
          <w:rFonts w:ascii="宋体" w:hAnsi="宋体" w:eastAsia="宋体" w:cs="宋体"/>
          <w:strike/>
          <w:spacing w:val="-3"/>
          <w:sz w:val="24"/>
          <w:szCs w:val="24"/>
        </w:rPr>
        <w:t>措施。</w:t>
      </w:r>
    </w:p>
    <w:p w14:paraId="602D3768">
      <w:pPr>
        <w:spacing w:before="121" w:line="290" w:lineRule="auto"/>
        <w:ind w:left="9" w:right="173" w:hanging="2"/>
        <w:rPr>
          <w:rFonts w:ascii="宋体" w:hAnsi="宋体" w:eastAsia="宋体" w:cs="宋体"/>
          <w:sz w:val="24"/>
          <w:szCs w:val="24"/>
        </w:rPr>
      </w:pPr>
      <w:r>
        <w:rPr>
          <w:rFonts w:ascii="Times New Roman" w:hAnsi="Times New Roman" w:eastAsia="Times New Roman" w:cs="Times New Roman"/>
          <w:strike/>
          <w:sz w:val="24"/>
          <w:szCs w:val="24"/>
        </w:rPr>
        <w:t xml:space="preserve">6.1.1    </w:t>
      </w:r>
      <w:r>
        <w:rPr>
          <w:rFonts w:ascii="宋体" w:hAnsi="宋体" w:eastAsia="宋体" w:cs="宋体"/>
          <w:strike/>
          <w:sz w:val="24"/>
          <w:szCs w:val="24"/>
        </w:rPr>
        <w:t>太阳能空调系统的施工安装不得破坏建筑物的结构</w:t>
      </w:r>
      <w:r>
        <w:rPr>
          <w:rFonts w:ascii="宋体" w:hAnsi="宋体" w:eastAsia="宋体" w:cs="宋体"/>
          <w:strike/>
          <w:spacing w:val="-1"/>
          <w:sz w:val="24"/>
          <w:szCs w:val="24"/>
        </w:rPr>
        <w:t>、屋面防水层和附属设施，</w:t>
      </w:r>
      <w:r>
        <w:rPr>
          <w:rFonts w:ascii="宋体" w:hAnsi="宋体" w:eastAsia="宋体" w:cs="宋体"/>
          <w:sz w:val="24"/>
          <w:szCs w:val="24"/>
        </w:rPr>
        <w:t xml:space="preserve"> </w:t>
      </w:r>
      <w:r>
        <w:rPr>
          <w:rFonts w:ascii="宋体" w:hAnsi="宋体" w:eastAsia="宋体" w:cs="宋体"/>
          <w:strike/>
          <w:spacing w:val="-1"/>
          <w:sz w:val="24"/>
          <w:szCs w:val="24"/>
        </w:rPr>
        <w:t>不得削弱建筑物在寿命期内承受荷载的能力。</w:t>
      </w:r>
    </w:p>
    <w:p w14:paraId="78E628E4">
      <w:pPr>
        <w:spacing w:before="262" w:line="226" w:lineRule="auto"/>
        <w:ind w:left="15"/>
        <w:outlineLvl w:val="2"/>
        <w:rPr>
          <w:rFonts w:ascii="宋体" w:hAnsi="宋体" w:eastAsia="宋体" w:cs="宋体"/>
          <w:sz w:val="27"/>
          <w:szCs w:val="27"/>
        </w:rPr>
      </w:pPr>
      <w:bookmarkStart w:id="86" w:name="bookmark132"/>
      <w:bookmarkEnd w:id="86"/>
      <w:r>
        <w:rPr>
          <w:rFonts w:ascii="Times New Roman" w:hAnsi="Times New Roman" w:eastAsia="Times New Roman" w:cs="Times New Roman"/>
          <w:b/>
          <w:bCs/>
          <w:spacing w:val="6"/>
          <w:sz w:val="27"/>
          <w:szCs w:val="27"/>
        </w:rPr>
        <w:t>10.</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 xml:space="preserve">144-2019  </w:t>
      </w:r>
      <w:r>
        <w:rPr>
          <w:rFonts w:ascii="宋体" w:hAnsi="宋体" w:eastAsia="宋体" w:cs="宋体"/>
          <w:b/>
          <w:bCs/>
          <w:spacing w:val="6"/>
          <w:sz w:val="27"/>
          <w:szCs w:val="27"/>
        </w:rPr>
        <w:t>外墙外保温工程技术标准【强条已废】</w:t>
      </w:r>
    </w:p>
    <w:p w14:paraId="2BA36B6D">
      <w:pPr>
        <w:pStyle w:val="2"/>
        <w:spacing w:before="176" w:line="185" w:lineRule="auto"/>
        <w:ind w:left="33"/>
        <w:rPr>
          <w:rFonts w:ascii="宋体" w:hAnsi="宋体" w:eastAsia="宋体" w:cs="宋体"/>
          <w:sz w:val="24"/>
          <w:szCs w:val="24"/>
        </w:rPr>
      </w:pPr>
      <w:r>
        <w:rPr>
          <w:rFonts w:ascii="宋体" w:hAnsi="宋体" w:eastAsia="宋体" w:cs="宋体"/>
          <w:b/>
          <w:bCs/>
          <w:color w:val="EE0000"/>
          <w:spacing w:val="-2"/>
          <w:sz w:val="24"/>
          <w:szCs w:val="24"/>
        </w:rPr>
        <w:t>以下条目已被《</w:t>
      </w:r>
      <w:r>
        <w:rPr>
          <w:b/>
          <w:bCs/>
          <w:color w:val="0563C1"/>
          <w:spacing w:val="-2"/>
          <w:sz w:val="24"/>
          <w:szCs w:val="24"/>
          <w:u w:val="single" w:color="auto"/>
        </w:rPr>
        <w:t xml:space="preserve">GB55015-2021 </w:t>
      </w:r>
      <w:r>
        <w:rPr>
          <w:rFonts w:ascii="宋体" w:hAnsi="宋体" w:eastAsia="宋体" w:cs="宋体"/>
          <w:b/>
          <w:bCs/>
          <w:color w:val="0563C1"/>
          <w:spacing w:val="-2"/>
          <w:sz w:val="24"/>
          <w:szCs w:val="24"/>
          <w:u w:val="single" w:color="auto"/>
        </w:rPr>
        <w:t>建筑节能与可再生能源利用通用规范</w:t>
      </w:r>
      <w:r>
        <w:rPr>
          <w:rFonts w:ascii="宋体" w:hAnsi="宋体" w:eastAsia="宋体" w:cs="宋体"/>
          <w:b/>
          <w:bCs/>
          <w:color w:val="EE0000"/>
          <w:spacing w:val="-2"/>
          <w:sz w:val="24"/>
          <w:szCs w:val="24"/>
        </w:rPr>
        <w:t>》替代</w:t>
      </w:r>
    </w:p>
    <w:p w14:paraId="06A82A15">
      <w:pPr>
        <w:pStyle w:val="2"/>
        <w:spacing w:before="28"/>
        <w:ind w:left="6" w:hanging="6"/>
        <w:jc w:val="both"/>
        <w:rPr>
          <w:rFonts w:ascii="宋体" w:hAnsi="宋体" w:eastAsia="宋体" w:cs="宋体"/>
          <w:sz w:val="24"/>
          <w:szCs w:val="24"/>
        </w:rPr>
      </w:pPr>
      <w:r>
        <w:rPr>
          <w:strike/>
          <w:color w:val="202935"/>
          <w:sz w:val="24"/>
          <w:szCs w:val="24"/>
        </w:rPr>
        <w:t>4.0.2</w:t>
      </w:r>
      <w:r>
        <w:rPr>
          <w:strike/>
          <w:color w:val="202935"/>
          <w:spacing w:val="18"/>
          <w:sz w:val="24"/>
          <w:szCs w:val="24"/>
        </w:rPr>
        <w:t xml:space="preserve">   </w:t>
      </w:r>
      <w:r>
        <w:rPr>
          <w:rFonts w:ascii="宋体" w:hAnsi="宋体" w:eastAsia="宋体" w:cs="宋体"/>
          <w:strike/>
          <w:color w:val="202935"/>
          <w:sz w:val="24"/>
          <w:szCs w:val="24"/>
        </w:rPr>
        <w:t>外保温系统经耐侯性试验后，不得出</w:t>
      </w:r>
      <w:r>
        <w:rPr>
          <w:rFonts w:ascii="宋体" w:hAnsi="宋体" w:eastAsia="宋体" w:cs="宋体"/>
          <w:strike/>
          <w:color w:val="202935"/>
          <w:spacing w:val="-1"/>
          <w:sz w:val="24"/>
          <w:szCs w:val="24"/>
        </w:rPr>
        <w:t>现空鼓、剥落或脱落、开裂等破坏，不得</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产生裂缝出现渗水；外保温系统拉伸粘结强度应符合表</w:t>
      </w:r>
      <w:r>
        <w:rPr>
          <w:rFonts w:ascii="宋体" w:hAnsi="宋体" w:eastAsia="宋体" w:cs="宋体"/>
          <w:strike/>
          <w:color w:val="202935"/>
          <w:spacing w:val="-56"/>
          <w:sz w:val="24"/>
          <w:szCs w:val="24"/>
        </w:rPr>
        <w:t xml:space="preserve"> </w:t>
      </w:r>
      <w:r>
        <w:rPr>
          <w:strike/>
          <w:color w:val="202935"/>
          <w:spacing w:val="-1"/>
          <w:sz w:val="24"/>
          <w:szCs w:val="24"/>
        </w:rPr>
        <w:t>4.0.2</w:t>
      </w:r>
      <w:r>
        <w:rPr>
          <w:strike/>
          <w:color w:val="202935"/>
          <w:spacing w:val="22"/>
          <w:sz w:val="24"/>
          <w:szCs w:val="24"/>
        </w:rPr>
        <w:t xml:space="preserve"> </w:t>
      </w:r>
      <w:r>
        <w:rPr>
          <w:rFonts w:ascii="宋体" w:hAnsi="宋体" w:eastAsia="宋体" w:cs="宋体"/>
          <w:strike/>
          <w:color w:val="202935"/>
          <w:spacing w:val="-1"/>
          <w:sz w:val="24"/>
          <w:szCs w:val="24"/>
        </w:rPr>
        <w:t>的规定，且破坏部</w:t>
      </w:r>
      <w:r>
        <w:rPr>
          <w:rFonts w:ascii="宋体" w:hAnsi="宋体" w:eastAsia="宋体" w:cs="宋体"/>
          <w:strike/>
          <w:color w:val="202935"/>
          <w:spacing w:val="-2"/>
          <w:sz w:val="24"/>
          <w:szCs w:val="24"/>
        </w:rPr>
        <w:t>位应位</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于保温层内。</w:t>
      </w:r>
    </w:p>
    <w:p w14:paraId="325596DC">
      <w:pPr>
        <w:pStyle w:val="2"/>
        <w:spacing w:line="328" w:lineRule="exact"/>
        <w:ind w:left="5"/>
        <w:rPr>
          <w:rFonts w:ascii="宋体" w:hAnsi="宋体" w:eastAsia="宋体" w:cs="宋体"/>
          <w:sz w:val="24"/>
          <w:szCs w:val="24"/>
        </w:rPr>
      </w:pPr>
      <w:r>
        <w:rPr>
          <w:rFonts w:ascii="宋体" w:hAnsi="宋体" w:eastAsia="宋体" w:cs="宋体"/>
          <w:strike/>
          <w:color w:val="202935"/>
          <w:spacing w:val="-3"/>
          <w:position w:val="1"/>
          <w:sz w:val="24"/>
          <w:szCs w:val="24"/>
        </w:rPr>
        <w:t xml:space="preserve">表 </w:t>
      </w:r>
      <w:r>
        <w:rPr>
          <w:strike/>
          <w:color w:val="202935"/>
          <w:spacing w:val="-3"/>
          <w:position w:val="1"/>
          <w:sz w:val="24"/>
          <w:szCs w:val="24"/>
        </w:rPr>
        <w:t>4.0.2</w:t>
      </w:r>
      <w:r>
        <w:rPr>
          <w:strike/>
          <w:color w:val="202935"/>
          <w:spacing w:val="21"/>
          <w:w w:val="101"/>
          <w:position w:val="1"/>
          <w:sz w:val="24"/>
          <w:szCs w:val="24"/>
        </w:rPr>
        <w:t xml:space="preserve">   </w:t>
      </w:r>
      <w:r>
        <w:rPr>
          <w:rFonts w:ascii="宋体" w:hAnsi="宋体" w:eastAsia="宋体" w:cs="宋体"/>
          <w:strike/>
          <w:color w:val="202935"/>
          <w:spacing w:val="-3"/>
          <w:position w:val="1"/>
          <w:sz w:val="24"/>
          <w:szCs w:val="24"/>
        </w:rPr>
        <w:t>外保温系统拉伸粘结强度（</w:t>
      </w:r>
      <w:r>
        <w:rPr>
          <w:strike/>
          <w:color w:val="202935"/>
          <w:spacing w:val="-3"/>
          <w:position w:val="1"/>
          <w:sz w:val="24"/>
          <w:szCs w:val="24"/>
        </w:rPr>
        <w:t>MPa</w:t>
      </w:r>
      <w:r>
        <w:rPr>
          <w:strike/>
          <w:color w:val="202935"/>
          <w:spacing w:val="-33"/>
          <w:position w:val="1"/>
          <w:sz w:val="24"/>
          <w:szCs w:val="24"/>
        </w:rPr>
        <w:t xml:space="preserve"> </w:t>
      </w:r>
      <w:r>
        <w:rPr>
          <w:rFonts w:ascii="宋体" w:hAnsi="宋体" w:eastAsia="宋体" w:cs="宋体"/>
          <w:strike/>
          <w:color w:val="202935"/>
          <w:spacing w:val="-3"/>
          <w:position w:val="1"/>
          <w:sz w:val="24"/>
          <w:szCs w:val="24"/>
        </w:rPr>
        <w:t>）</w:t>
      </w:r>
      <w:r>
        <w:rPr>
          <w:rFonts w:ascii="宋体" w:hAnsi="宋体" w:eastAsia="宋体" w:cs="宋体"/>
          <w:strike/>
          <w:color w:val="202935"/>
          <w:position w:val="1"/>
          <w:sz w:val="24"/>
          <w:szCs w:val="24"/>
        </w:rPr>
        <w:t xml:space="preserve"> </w:t>
      </w:r>
    </w:p>
    <w:p w14:paraId="218E182A">
      <w:pPr>
        <w:spacing w:line="328" w:lineRule="exact"/>
        <w:rPr>
          <w:rFonts w:ascii="宋体" w:hAnsi="宋体" w:eastAsia="宋体" w:cs="宋体"/>
          <w:sz w:val="24"/>
          <w:szCs w:val="24"/>
        </w:rPr>
        <w:sectPr>
          <w:footerReference r:id="rId64" w:type="default"/>
          <w:pgSz w:w="11907" w:h="16839"/>
          <w:pgMar w:top="400" w:right="1435" w:bottom="743" w:left="1420" w:header="0" w:footer="582" w:gutter="0"/>
          <w:cols w:space="720" w:num="1"/>
        </w:sectPr>
      </w:pPr>
    </w:p>
    <w:p w14:paraId="6E544B4B">
      <w:pPr>
        <w:spacing w:before="41"/>
      </w:pPr>
    </w:p>
    <w:p w14:paraId="08FE0BD8">
      <w:pPr>
        <w:spacing w:before="41"/>
      </w:pPr>
    </w:p>
    <w:p w14:paraId="06AF56C4">
      <w:pPr>
        <w:spacing w:before="40"/>
      </w:pPr>
    </w:p>
    <w:tbl>
      <w:tblPr>
        <w:tblStyle w:val="5"/>
        <w:tblW w:w="90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6"/>
        <w:gridCol w:w="2775"/>
        <w:gridCol w:w="2266"/>
        <w:gridCol w:w="2550"/>
      </w:tblGrid>
      <w:tr w14:paraId="0C3C7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2" w:hRule="atLeast"/>
        </w:trPr>
        <w:tc>
          <w:tcPr>
            <w:tcW w:w="1476" w:type="dxa"/>
            <w:vAlign w:val="top"/>
          </w:tcPr>
          <w:p w14:paraId="1D53B9FC">
            <w:pPr>
              <w:spacing w:before="4" w:line="60" w:lineRule="exact"/>
              <w:ind w:firstLine="4"/>
            </w:pPr>
            <w:r>
              <w:rPr>
                <w:position w:val="-1"/>
              </w:rPr>
              <w:pict>
                <v:shape id="_x0000_s1035" o:spid="_x0000_s1035" style="height:3pt;width:73.15pt;" fillcolor="#FFFFFF" filled="t" stroked="f" coordsize="1463,60" path="m0,59l1462,59,1462,0,0,0,0,59xe">
                  <v:fill on="t" focussize="0,0"/>
                  <v:stroke on="f"/>
                  <v:imagedata o:title=""/>
                  <o:lock v:ext="edit"/>
                  <w10:wrap type="none"/>
                  <w10:anchorlock/>
                </v:shape>
              </w:pict>
            </w:r>
          </w:p>
          <w:p w14:paraId="76E673FC">
            <w:pPr>
              <w:spacing w:line="423" w:lineRule="auto"/>
              <w:rPr>
                <w:rFonts w:ascii="Arial"/>
                <w:sz w:val="21"/>
              </w:rPr>
            </w:pPr>
          </w:p>
          <w:p w14:paraId="29BC36FE">
            <w:pPr>
              <w:pStyle w:val="6"/>
              <w:spacing w:before="78" w:line="219" w:lineRule="auto"/>
              <w:ind w:left="264"/>
              <w:rPr>
                <w:sz w:val="24"/>
                <w:szCs w:val="24"/>
              </w:rPr>
            </w:pPr>
            <w:r>
              <w:rPr>
                <w:strike/>
                <w:color w:val="202935"/>
                <w:spacing w:val="-2"/>
                <w:sz w:val="24"/>
                <w:szCs w:val="24"/>
              </w:rPr>
              <w:t>检验项目</w:t>
            </w:r>
          </w:p>
          <w:p w14:paraId="4311ADDD">
            <w:pPr>
              <w:spacing w:line="454" w:lineRule="auto"/>
              <w:rPr>
                <w:rFonts w:ascii="Arial"/>
                <w:sz w:val="21"/>
              </w:rPr>
            </w:pPr>
          </w:p>
          <w:p w14:paraId="31FE81AC">
            <w:pPr>
              <w:spacing w:line="52" w:lineRule="exact"/>
            </w:pPr>
            <w:r>
              <w:rPr>
                <w:position w:val="-1"/>
              </w:rPr>
              <w:pict>
                <v:shape id="_x0000_s1036" o:spid="_x0000_s1036" style="height:3pt;width:73.65pt;" fillcolor="#FFFFFF" filled="t" stroked="f" coordsize="1473,60" path="m0,59l1472,59,1472,0,0,0,0,59xe">
                  <v:fill on="t" focussize="0,0"/>
                  <v:stroke on="f"/>
                  <v:imagedata o:title=""/>
                  <o:lock v:ext="edit"/>
                  <w10:wrap type="none"/>
                  <w10:anchorlock/>
                </v:shape>
              </w:pict>
            </w:r>
          </w:p>
        </w:tc>
        <w:tc>
          <w:tcPr>
            <w:tcW w:w="2775" w:type="dxa"/>
            <w:vAlign w:val="top"/>
          </w:tcPr>
          <w:p w14:paraId="45183D46">
            <w:pPr>
              <w:spacing w:before="4" w:line="60" w:lineRule="exact"/>
            </w:pPr>
            <w:r>
              <w:rPr>
                <w:position w:val="-1"/>
              </w:rPr>
              <w:pict>
                <v:shape id="_x0000_s1037" o:spid="_x0000_s1037" style="height:3pt;width:138.4pt;" fillcolor="#FFFFFF" filled="t" stroked="f" coordsize="2767,60" path="m0,59l2767,59,2767,0,0,0,0,59xe">
                  <v:fill on="t" focussize="0,0"/>
                  <v:stroke on="f"/>
                  <v:imagedata o:title=""/>
                  <o:lock v:ext="edit"/>
                  <w10:wrap type="none"/>
                  <w10:anchorlock/>
                </v:shape>
              </w:pict>
            </w:r>
          </w:p>
          <w:p w14:paraId="0183F10F">
            <w:pPr>
              <w:pStyle w:val="6"/>
              <w:spacing w:before="192" w:line="218" w:lineRule="auto"/>
              <w:ind w:left="193"/>
              <w:rPr>
                <w:sz w:val="24"/>
                <w:szCs w:val="24"/>
              </w:rPr>
            </w:pPr>
            <w:r>
              <w:rPr>
                <w:strike/>
                <w:color w:val="202935"/>
                <w:spacing w:val="-1"/>
                <w:sz w:val="24"/>
                <w:szCs w:val="24"/>
              </w:rPr>
              <w:t>粘贴保温板薄抹灰外保</w:t>
            </w:r>
          </w:p>
          <w:p w14:paraId="5BB900D1">
            <w:pPr>
              <w:pStyle w:val="6"/>
              <w:spacing w:before="28" w:line="218" w:lineRule="auto"/>
              <w:ind w:left="165"/>
              <w:rPr>
                <w:sz w:val="24"/>
                <w:szCs w:val="24"/>
              </w:rPr>
            </w:pPr>
            <w:r>
              <w:rPr>
                <w:strike/>
                <w:color w:val="202935"/>
                <w:spacing w:val="-2"/>
                <w:sz w:val="24"/>
                <w:szCs w:val="24"/>
              </w:rPr>
              <w:t>温系统、</w:t>
            </w:r>
            <w:r>
              <w:rPr>
                <w:rFonts w:ascii="Arial" w:hAnsi="Arial" w:eastAsia="Arial" w:cs="Arial"/>
                <w:strike/>
                <w:color w:val="202935"/>
                <w:spacing w:val="-2"/>
                <w:sz w:val="24"/>
                <w:szCs w:val="24"/>
              </w:rPr>
              <w:t xml:space="preserve">EPS </w:t>
            </w:r>
            <w:r>
              <w:rPr>
                <w:strike/>
                <w:color w:val="202935"/>
                <w:spacing w:val="-2"/>
                <w:sz w:val="24"/>
                <w:szCs w:val="24"/>
              </w:rPr>
              <w:t>板现浇混</w:t>
            </w:r>
          </w:p>
          <w:p w14:paraId="0E71E51B">
            <w:pPr>
              <w:pStyle w:val="6"/>
              <w:spacing w:before="27" w:line="220" w:lineRule="auto"/>
              <w:ind w:left="552"/>
              <w:rPr>
                <w:sz w:val="24"/>
                <w:szCs w:val="24"/>
              </w:rPr>
            </w:pPr>
            <w:r>
              <w:rPr>
                <w:strike/>
                <w:color w:val="202935"/>
                <w:spacing w:val="-2"/>
                <w:sz w:val="24"/>
                <w:szCs w:val="24"/>
              </w:rPr>
              <w:t>凝土外保温系统</w:t>
            </w:r>
          </w:p>
          <w:p w14:paraId="40389516">
            <w:pPr>
              <w:spacing w:before="145" w:line="51" w:lineRule="exact"/>
            </w:pPr>
            <w:r>
              <w:rPr>
                <w:position w:val="-1"/>
              </w:rPr>
              <w:pict>
                <v:shape id="_x0000_s1038" o:spid="_x0000_s1038" style="height:3pt;width:138.85pt;" fillcolor="#FFFFFF" filled="t" stroked="f" coordsize="2777,60" path="m0,59l2776,59,2776,0,0,0,0,59xe">
                  <v:fill on="t" focussize="0,0"/>
                  <v:stroke on="f"/>
                  <v:imagedata o:title=""/>
                  <o:lock v:ext="edit"/>
                  <w10:wrap type="none"/>
                  <w10:anchorlock/>
                </v:shape>
              </w:pict>
            </w:r>
          </w:p>
        </w:tc>
        <w:tc>
          <w:tcPr>
            <w:tcW w:w="2266" w:type="dxa"/>
            <w:vAlign w:val="top"/>
          </w:tcPr>
          <w:p w14:paraId="124B097D">
            <w:pPr>
              <w:spacing w:before="4" w:line="60" w:lineRule="exact"/>
              <w:ind w:firstLine="2"/>
            </w:pPr>
            <w:r>
              <w:rPr>
                <w:position w:val="-1"/>
              </w:rPr>
              <w:pict>
                <v:shape id="_x0000_s1039" o:spid="_x0000_s1039" style="height:3pt;width:112.9pt;" fillcolor="#FFFFFF" filled="t" stroked="f" coordsize="2258,60" path="m0,59l2257,59,2257,0,0,0,0,59xe">
                  <v:fill on="t" focussize="0,0"/>
                  <v:stroke on="f"/>
                  <v:imagedata o:title=""/>
                  <o:lock v:ext="edit"/>
                  <w10:wrap type="none"/>
                  <w10:anchorlock/>
                </v:shape>
              </w:pict>
            </w:r>
          </w:p>
          <w:p w14:paraId="56F7CC7B">
            <w:pPr>
              <w:spacing w:line="267" w:lineRule="auto"/>
              <w:rPr>
                <w:rFonts w:ascii="Arial"/>
                <w:sz w:val="21"/>
              </w:rPr>
            </w:pPr>
          </w:p>
          <w:p w14:paraId="67D6ABFA">
            <w:pPr>
              <w:pStyle w:val="6"/>
              <w:spacing w:before="78" w:line="242" w:lineRule="auto"/>
              <w:ind w:left="299" w:right="170" w:hanging="120"/>
              <w:rPr>
                <w:sz w:val="24"/>
                <w:szCs w:val="24"/>
              </w:rPr>
            </w:pPr>
            <w:r>
              <w:rPr>
                <w:strike/>
                <w:color w:val="202935"/>
                <w:spacing w:val="-2"/>
                <w:sz w:val="24"/>
                <w:szCs w:val="24"/>
              </w:rPr>
              <w:t>胶粉聚苯颗粒保温</w:t>
            </w:r>
            <w:r>
              <w:rPr>
                <w:color w:val="202935"/>
                <w:spacing w:val="6"/>
                <w:sz w:val="24"/>
                <w:szCs w:val="24"/>
              </w:rPr>
              <w:t xml:space="preserve"> </w:t>
            </w:r>
            <w:r>
              <w:rPr>
                <w:strike/>
                <w:color w:val="202935"/>
                <w:spacing w:val="-2"/>
                <w:sz w:val="24"/>
                <w:szCs w:val="24"/>
              </w:rPr>
              <w:t>浆料外保温系统</w:t>
            </w:r>
          </w:p>
          <w:p w14:paraId="12FD658D">
            <w:pPr>
              <w:spacing w:line="268" w:lineRule="auto"/>
              <w:rPr>
                <w:rFonts w:ascii="Arial"/>
                <w:sz w:val="21"/>
              </w:rPr>
            </w:pPr>
          </w:p>
          <w:p w14:paraId="036FCF99">
            <w:pPr>
              <w:spacing w:line="51" w:lineRule="exact"/>
            </w:pPr>
            <w:r>
              <w:rPr>
                <w:position w:val="-1"/>
              </w:rPr>
              <w:pict>
                <v:shape id="_x0000_s1040" o:spid="_x0000_s1040" style="height:3pt;width:113.35pt;" fillcolor="#FFFFFF" filled="t" stroked="f" coordsize="2266,60" path="m0,59l2266,59,2266,0,0,0,0,59xe">
                  <v:fill on="t" focussize="0,0"/>
                  <v:stroke on="f"/>
                  <v:imagedata o:title=""/>
                  <o:lock v:ext="edit"/>
                  <w10:wrap type="none"/>
                  <w10:anchorlock/>
                </v:shape>
              </w:pict>
            </w:r>
          </w:p>
        </w:tc>
        <w:tc>
          <w:tcPr>
            <w:tcW w:w="2550" w:type="dxa"/>
            <w:vAlign w:val="top"/>
          </w:tcPr>
          <w:p w14:paraId="68AE7D67">
            <w:pPr>
              <w:spacing w:line="47" w:lineRule="auto"/>
              <w:rPr>
                <w:rFonts w:ascii="Arial"/>
                <w:sz w:val="2"/>
              </w:rPr>
            </w:pPr>
          </w:p>
          <w:tbl>
            <w:tblPr>
              <w:tblStyle w:val="5"/>
              <w:tblW w:w="2545"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545"/>
            </w:tblGrid>
            <w:tr w14:paraId="0D1F462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6" w:hRule="atLeast"/>
              </w:trPr>
              <w:tc>
                <w:tcPr>
                  <w:tcW w:w="2545" w:type="dxa"/>
                  <w:tcBorders>
                    <w:top w:val="single" w:color="FFFFFF" w:sz="22" w:space="0"/>
                    <w:bottom w:val="single" w:color="202935" w:sz="4" w:space="0"/>
                  </w:tcBorders>
                  <w:vAlign w:val="top"/>
                </w:tcPr>
                <w:p w14:paraId="3E3B6B19">
                  <w:pPr>
                    <w:pStyle w:val="6"/>
                    <w:spacing w:before="39" w:line="164" w:lineRule="auto"/>
                    <w:ind w:left="261" w:right="193" w:hanging="60"/>
                    <w:rPr>
                      <w:sz w:val="24"/>
                      <w:szCs w:val="24"/>
                    </w:rPr>
                  </w:pPr>
                  <w:r>
                    <w:rPr>
                      <w:strike/>
                      <w:color w:val="202935"/>
                      <w:spacing w:val="-2"/>
                      <w:sz w:val="24"/>
                      <w:szCs w:val="24"/>
                    </w:rPr>
                    <w:t>胶粉聚苯颗粒浆料贴</w:t>
                  </w:r>
                  <w:r>
                    <w:rPr>
                      <w:color w:val="202935"/>
                      <w:spacing w:val="7"/>
                      <w:sz w:val="24"/>
                      <w:szCs w:val="24"/>
                    </w:rPr>
                    <w:t xml:space="preserve"> </w:t>
                  </w:r>
                  <w:r>
                    <w:rPr>
                      <w:color w:val="202935"/>
                      <w:spacing w:val="-4"/>
                      <w:sz w:val="24"/>
                      <w:szCs w:val="24"/>
                    </w:rPr>
                    <w:t>砌</w:t>
                  </w:r>
                  <w:r>
                    <w:rPr>
                      <w:color w:val="202935"/>
                      <w:spacing w:val="-39"/>
                      <w:sz w:val="24"/>
                      <w:szCs w:val="24"/>
                    </w:rPr>
                    <w:t xml:space="preserve"> </w:t>
                  </w:r>
                  <w:r>
                    <w:rPr>
                      <w:rFonts w:ascii="Arial" w:hAnsi="Arial" w:eastAsia="Arial" w:cs="Arial"/>
                      <w:color w:val="202935"/>
                      <w:spacing w:val="-4"/>
                      <w:sz w:val="24"/>
                      <w:szCs w:val="24"/>
                    </w:rPr>
                    <w:t xml:space="preserve">EPS </w:t>
                  </w:r>
                  <w:r>
                    <w:rPr>
                      <w:color w:val="202935"/>
                      <w:spacing w:val="-4"/>
                      <w:sz w:val="24"/>
                      <w:szCs w:val="24"/>
                    </w:rPr>
                    <w:t>板外保温系</w:t>
                  </w:r>
                </w:p>
              </w:tc>
            </w:tr>
            <w:tr w14:paraId="507368C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2" w:hRule="atLeast"/>
              </w:trPr>
              <w:tc>
                <w:tcPr>
                  <w:tcW w:w="2545" w:type="dxa"/>
                  <w:tcBorders>
                    <w:top w:val="single" w:color="202935" w:sz="4" w:space="0"/>
                  </w:tcBorders>
                  <w:vAlign w:val="top"/>
                </w:tcPr>
                <w:p w14:paraId="36DE8456">
                  <w:pPr>
                    <w:rPr>
                      <w:rFonts w:ascii="Arial"/>
                      <w:sz w:val="21"/>
                    </w:rPr>
                  </w:pPr>
                  <w:r>
                    <w:pict>
                      <v:shape id="_x0000_s1041" o:spid="_x0000_s1041" o:spt="202" type="#_x0000_t202" style="position:absolute;left:0pt;margin-left:9.45pt;margin-top:8.1pt;height:16.25pt;width:109.2pt;mso-position-horizontal-relative:page;mso-position-vertical-relative:page;z-index:251683840;mso-width-relative:page;mso-height-relative:page;" filled="f" stroked="f" coordsize="21600,21600">
                        <v:path/>
                        <v:fill on="f" focussize="0,0"/>
                        <v:stroke on="f"/>
                        <v:imagedata o:title=""/>
                        <o:lock v:ext="edit" aspectratio="f"/>
                        <v:textbox inset="0mm,0mm,0mm,0mm">
                          <w:txbxContent>
                            <w:p w14:paraId="6DDE3684">
                              <w:pPr>
                                <w:pStyle w:val="6"/>
                                <w:spacing w:before="19" w:line="219" w:lineRule="auto"/>
                                <w:ind w:left="20"/>
                                <w:rPr>
                                  <w:sz w:val="24"/>
                                  <w:szCs w:val="24"/>
                                </w:rPr>
                              </w:pPr>
                              <w:r>
                                <w:rPr>
                                  <w:color w:val="202935"/>
                                  <w:spacing w:val="-2"/>
                                  <w:sz w:val="24"/>
                                  <w:szCs w:val="24"/>
                                </w:rPr>
                                <w:t>统、现场喷涂硬泡聚</w:t>
                              </w:r>
                            </w:p>
                          </w:txbxContent>
                        </v:textbox>
                      </v:shape>
                    </w:pict>
                  </w:r>
                </w:p>
              </w:tc>
            </w:tr>
            <w:tr w14:paraId="0EAB459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8" w:hRule="atLeast"/>
              </w:trPr>
              <w:tc>
                <w:tcPr>
                  <w:tcW w:w="2545" w:type="dxa"/>
                  <w:tcBorders>
                    <w:bottom w:val="single" w:color="FFFFFF" w:sz="22" w:space="0"/>
                  </w:tcBorders>
                  <w:vAlign w:val="top"/>
                </w:tcPr>
                <w:p w14:paraId="69C3B20F">
                  <w:pPr>
                    <w:pStyle w:val="6"/>
                    <w:spacing w:before="200" w:line="206" w:lineRule="auto"/>
                    <w:ind w:left="442"/>
                    <w:rPr>
                      <w:sz w:val="24"/>
                      <w:szCs w:val="24"/>
                    </w:rPr>
                  </w:pPr>
                  <w:r>
                    <w:drawing>
                      <wp:anchor distT="0" distB="0" distL="0" distR="0" simplePos="0" relativeHeight="251684864" behindDoc="0" locked="0" layoutInCell="1" allowOverlap="1">
                        <wp:simplePos x="0" y="0"/>
                        <wp:positionH relativeFrom="rightMargin">
                          <wp:posOffset>-1492885</wp:posOffset>
                        </wp:positionH>
                        <wp:positionV relativeFrom="topMargin">
                          <wp:posOffset>21590</wp:posOffset>
                        </wp:positionV>
                        <wp:extent cx="1370965" cy="698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92"/>
                                <a:stretch>
                                  <a:fillRect/>
                                </a:stretch>
                              </pic:blipFill>
                              <pic:spPr>
                                <a:xfrm>
                                  <a:off x="0" y="0"/>
                                  <a:ext cx="1370846" cy="6798"/>
                                </a:xfrm>
                                <a:prstGeom prst="rect">
                                  <a:avLst/>
                                </a:prstGeom>
                              </pic:spPr>
                            </pic:pic>
                          </a:graphicData>
                        </a:graphic>
                      </wp:anchor>
                    </w:drawing>
                  </w:r>
                  <w:r>
                    <w:rPr>
                      <w:strike/>
                      <w:color w:val="202935"/>
                      <w:spacing w:val="-2"/>
                      <w:sz w:val="24"/>
                      <w:szCs w:val="24"/>
                    </w:rPr>
                    <w:t>氨酯外保温系统</w:t>
                  </w:r>
                </w:p>
              </w:tc>
            </w:tr>
          </w:tbl>
          <w:p w14:paraId="18C94D02">
            <w:pPr>
              <w:spacing w:line="14" w:lineRule="auto"/>
              <w:rPr>
                <w:rFonts w:ascii="Arial"/>
                <w:sz w:val="2"/>
              </w:rPr>
            </w:pPr>
          </w:p>
        </w:tc>
      </w:tr>
      <w:tr w14:paraId="1BDC8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476" w:type="dxa"/>
            <w:vAlign w:val="top"/>
          </w:tcPr>
          <w:p w14:paraId="2671DC83">
            <w:pPr>
              <w:spacing w:before="2" w:line="60" w:lineRule="exact"/>
              <w:ind w:firstLine="4"/>
            </w:pPr>
            <w:r>
              <w:rPr>
                <w:position w:val="-1"/>
              </w:rPr>
              <w:pict>
                <v:shape id="_x0000_s1042" o:spid="_x0000_s1042" style="height:3pt;width:73.15pt;" fillcolor="#FFFFFF" filled="t" stroked="f" coordsize="1463,60" path="m0,59l1462,59,1462,0,0,0,0,59xe">
                  <v:fill on="t" focussize="0,0"/>
                  <v:stroke on="f"/>
                  <v:imagedata o:title=""/>
                  <o:lock v:ext="edit"/>
                  <w10:wrap type="none"/>
                  <w10:anchorlock/>
                </v:shape>
              </w:pict>
            </w:r>
          </w:p>
          <w:p w14:paraId="5C35C463">
            <w:pPr>
              <w:pStyle w:val="6"/>
              <w:spacing w:before="37" w:line="219" w:lineRule="auto"/>
              <w:ind w:left="146"/>
              <w:rPr>
                <w:sz w:val="24"/>
                <w:szCs w:val="24"/>
              </w:rPr>
            </w:pPr>
            <w:r>
              <w:rPr>
                <w:strike/>
                <w:color w:val="202935"/>
                <w:spacing w:val="-2"/>
                <w:sz w:val="24"/>
                <w:szCs w:val="24"/>
              </w:rPr>
              <w:t>拉伸粘结强</w:t>
            </w:r>
          </w:p>
          <w:p w14:paraId="693761BF">
            <w:pPr>
              <w:pStyle w:val="6"/>
              <w:spacing w:before="26" w:line="212" w:lineRule="auto"/>
              <w:ind w:left="623"/>
              <w:rPr>
                <w:sz w:val="24"/>
                <w:szCs w:val="24"/>
              </w:rPr>
            </w:pPr>
            <w:r>
              <w:rPr>
                <w:strike/>
                <w:color w:val="202935"/>
                <w:sz w:val="24"/>
                <w:szCs w:val="24"/>
              </w:rPr>
              <w:t>度</w:t>
            </w:r>
          </w:p>
          <w:p w14:paraId="231A9541">
            <w:pPr>
              <w:spacing w:line="54" w:lineRule="exact"/>
            </w:pPr>
            <w:r>
              <w:rPr>
                <w:position w:val="-1"/>
              </w:rPr>
              <w:pict>
                <v:shape id="_x0000_s1043" o:spid="_x0000_s1043" style="height:3pt;width:73.65pt;" fillcolor="#FFFFFF" filled="t" stroked="f" coordsize="1473,60" path="m0,59l1472,59,1472,0,0,0,0,59xe">
                  <v:fill on="t" focussize="0,0"/>
                  <v:stroke on="f"/>
                  <v:imagedata o:title=""/>
                  <o:lock v:ext="edit"/>
                  <w10:wrap type="none"/>
                  <w10:anchorlock/>
                </v:shape>
              </w:pict>
            </w:r>
          </w:p>
        </w:tc>
        <w:tc>
          <w:tcPr>
            <w:tcW w:w="2775" w:type="dxa"/>
            <w:vAlign w:val="top"/>
          </w:tcPr>
          <w:p w14:paraId="6A6D98BD">
            <w:pPr>
              <w:spacing w:before="2" w:line="60" w:lineRule="exact"/>
            </w:pPr>
            <w:r>
              <w:rPr>
                <w:position w:val="-1"/>
              </w:rPr>
              <w:pict>
                <v:shape id="_x0000_s1044" o:spid="_x0000_s1044" style="height:3pt;width:138.4pt;" fillcolor="#FFFFFF" filled="t" stroked="f" coordsize="2767,60" path="m0,59l2767,59,2767,0,0,0,0,59xe">
                  <v:fill on="t" focussize="0,0"/>
                  <v:stroke on="f"/>
                  <v:imagedata o:title=""/>
                  <o:lock v:ext="edit"/>
                  <w10:wrap type="none"/>
                  <w10:anchorlock/>
                </v:shape>
              </w:pict>
            </w:r>
          </w:p>
          <w:p w14:paraId="46AEF743">
            <w:pPr>
              <w:spacing w:before="150" w:line="327" w:lineRule="exact"/>
              <w:ind w:left="1093"/>
              <w:rPr>
                <w:rFonts w:ascii="Arial" w:hAnsi="Arial" w:eastAsia="Arial" w:cs="Arial"/>
                <w:sz w:val="24"/>
                <w:szCs w:val="24"/>
              </w:rPr>
            </w:pP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10</w:t>
            </w:r>
          </w:p>
          <w:p w14:paraId="795EC0DC">
            <w:pPr>
              <w:spacing w:before="146" w:line="54" w:lineRule="exact"/>
            </w:pPr>
            <w:r>
              <w:rPr>
                <w:position w:val="-1"/>
              </w:rPr>
              <w:pict>
                <v:shape id="_x0000_s1045" o:spid="_x0000_s1045" style="height:3pt;width:138.85pt;" fillcolor="#FFFFFF" filled="t" stroked="f" coordsize="2777,60" path="m0,59l2776,59,2776,0,0,0,0,59xe">
                  <v:fill on="t" focussize="0,0"/>
                  <v:stroke on="f"/>
                  <v:imagedata o:title=""/>
                  <o:lock v:ext="edit"/>
                  <w10:wrap type="none"/>
                  <w10:anchorlock/>
                </v:shape>
              </w:pict>
            </w:r>
          </w:p>
        </w:tc>
        <w:tc>
          <w:tcPr>
            <w:tcW w:w="2266" w:type="dxa"/>
            <w:vAlign w:val="top"/>
          </w:tcPr>
          <w:p w14:paraId="064D2358">
            <w:pPr>
              <w:spacing w:before="2" w:line="60" w:lineRule="exact"/>
              <w:ind w:firstLine="2"/>
            </w:pPr>
            <w:r>
              <w:rPr>
                <w:position w:val="-1"/>
              </w:rPr>
              <w:pict>
                <v:shape id="_x0000_s1046" o:spid="_x0000_s1046" style="height:3pt;width:112.9pt;" fillcolor="#FFFFFF" filled="t" stroked="f" coordsize="2258,60" path="m0,59l2257,59,2257,0,0,0,0,59xe">
                  <v:fill on="t" focussize="0,0"/>
                  <v:stroke on="f"/>
                  <v:imagedata o:title=""/>
                  <o:lock v:ext="edit"/>
                  <w10:wrap type="none"/>
                  <w10:anchorlock/>
                </v:shape>
              </w:pict>
            </w:r>
          </w:p>
          <w:p w14:paraId="54ACF811">
            <w:pPr>
              <w:spacing w:before="150" w:line="327" w:lineRule="exact"/>
              <w:ind w:left="841"/>
              <w:rPr>
                <w:rFonts w:ascii="Arial" w:hAnsi="Arial" w:eastAsia="Arial" w:cs="Arial"/>
                <w:sz w:val="24"/>
                <w:szCs w:val="24"/>
              </w:rPr>
            </w:pP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06</w:t>
            </w:r>
          </w:p>
          <w:p w14:paraId="234DC0FB">
            <w:pPr>
              <w:spacing w:before="146" w:line="54" w:lineRule="exact"/>
            </w:pPr>
            <w:r>
              <w:rPr>
                <w:position w:val="-1"/>
              </w:rPr>
              <w:pict>
                <v:shape id="_x0000_s1047" o:spid="_x0000_s1047" style="height:3pt;width:113.35pt;" fillcolor="#FFFFFF" filled="t" stroked="f" coordsize="2266,60" path="m0,59l2266,59,2266,0,0,0,0,59xe">
                  <v:fill on="t" focussize="0,0"/>
                  <v:stroke on="f"/>
                  <v:imagedata o:title=""/>
                  <o:lock v:ext="edit"/>
                  <w10:wrap type="none"/>
                  <w10:anchorlock/>
                </v:shape>
              </w:pict>
            </w:r>
          </w:p>
        </w:tc>
        <w:tc>
          <w:tcPr>
            <w:tcW w:w="2550" w:type="dxa"/>
            <w:vAlign w:val="top"/>
          </w:tcPr>
          <w:p w14:paraId="385990FB">
            <w:pPr>
              <w:spacing w:before="2" w:line="60" w:lineRule="exact"/>
              <w:ind w:firstLine="3"/>
            </w:pPr>
            <w:r>
              <w:rPr>
                <w:position w:val="-1"/>
              </w:rPr>
              <w:pict>
                <v:shape id="_x0000_s1048" o:spid="_x0000_s1048" style="height:3pt;width:126.85pt;" fillcolor="#FFFFFF" filled="t" stroked="f" coordsize="2536,60" path="m0,59l2536,59,2536,0,0,0,0,59xe">
                  <v:fill on="t" focussize="0,0"/>
                  <v:stroke on="f"/>
                  <v:imagedata o:title=""/>
                  <o:lock v:ext="edit"/>
                  <w10:wrap type="none"/>
                  <w10:anchorlock/>
                </v:shape>
              </w:pict>
            </w:r>
          </w:p>
          <w:p w14:paraId="73857118">
            <w:pPr>
              <w:spacing w:before="150" w:line="327" w:lineRule="exact"/>
              <w:ind w:left="981"/>
              <w:rPr>
                <w:rFonts w:ascii="Arial" w:hAnsi="Arial" w:eastAsia="Arial" w:cs="Arial"/>
                <w:sz w:val="24"/>
                <w:szCs w:val="24"/>
              </w:rPr>
            </w:pP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10</w:t>
            </w:r>
          </w:p>
          <w:p w14:paraId="683E7B2F">
            <w:pPr>
              <w:spacing w:before="146" w:line="54" w:lineRule="exact"/>
            </w:pPr>
            <w:r>
              <w:rPr>
                <w:position w:val="-1"/>
              </w:rPr>
              <w:pict>
                <v:shape id="_x0000_s1049" o:spid="_x0000_s1049" style="height:3pt;width:127.35pt;" fillcolor="#FFFFFF" filled="t" stroked="f" coordsize="2546,60" path="m0,59l2546,59,2546,0,0,0,0,59xe">
                  <v:fill on="t" focussize="0,0"/>
                  <v:stroke on="f"/>
                  <v:imagedata o:title=""/>
                  <o:lock v:ext="edit"/>
                  <w10:wrap type="none"/>
                  <w10:anchorlock/>
                </v:shape>
              </w:pict>
            </w:r>
          </w:p>
        </w:tc>
      </w:tr>
    </w:tbl>
    <w:p w14:paraId="26773ED2">
      <w:pPr>
        <w:pStyle w:val="2"/>
        <w:spacing w:line="316" w:lineRule="exact"/>
        <w:ind w:left="3"/>
        <w:rPr>
          <w:rFonts w:ascii="宋体" w:hAnsi="宋体" w:eastAsia="宋体" w:cs="宋体"/>
          <w:sz w:val="24"/>
          <w:szCs w:val="24"/>
        </w:rPr>
      </w:pPr>
      <w:r>
        <w:rPr>
          <w:strike/>
          <w:color w:val="202935"/>
          <w:position w:val="1"/>
          <w:sz w:val="24"/>
          <w:szCs w:val="24"/>
        </w:rPr>
        <w:t xml:space="preserve">4.0.5   </w:t>
      </w:r>
      <w:r>
        <w:rPr>
          <w:rFonts w:ascii="宋体" w:hAnsi="宋体" w:eastAsia="宋体" w:cs="宋体"/>
          <w:strike/>
          <w:color w:val="202935"/>
          <w:position w:val="1"/>
          <w:sz w:val="24"/>
          <w:szCs w:val="24"/>
        </w:rPr>
        <w:t>胶粘剂拉伸粘结强度应符合表</w:t>
      </w:r>
      <w:r>
        <w:rPr>
          <w:rFonts w:ascii="宋体" w:hAnsi="宋体" w:eastAsia="宋体" w:cs="宋体"/>
          <w:strike/>
          <w:color w:val="202935"/>
          <w:spacing w:val="-51"/>
          <w:position w:val="1"/>
          <w:sz w:val="24"/>
          <w:szCs w:val="24"/>
        </w:rPr>
        <w:t xml:space="preserve"> </w:t>
      </w:r>
      <w:r>
        <w:rPr>
          <w:strike/>
          <w:color w:val="202935"/>
          <w:position w:val="1"/>
          <w:sz w:val="24"/>
          <w:szCs w:val="24"/>
        </w:rPr>
        <w:t>4.0.5</w:t>
      </w:r>
      <w:r>
        <w:rPr>
          <w:strike/>
          <w:color w:val="202935"/>
          <w:spacing w:val="22"/>
          <w:position w:val="1"/>
          <w:sz w:val="24"/>
          <w:szCs w:val="24"/>
        </w:rPr>
        <w:t xml:space="preserve"> </w:t>
      </w:r>
      <w:r>
        <w:rPr>
          <w:rFonts w:ascii="宋体" w:hAnsi="宋体" w:eastAsia="宋体" w:cs="宋体"/>
          <w:strike/>
          <w:color w:val="202935"/>
          <w:position w:val="1"/>
          <w:sz w:val="24"/>
          <w:szCs w:val="24"/>
        </w:rPr>
        <w:t>的规定。胶粘剂与保温板的粘结在原强</w:t>
      </w:r>
    </w:p>
    <w:p w14:paraId="61228C55">
      <w:pPr>
        <w:pStyle w:val="2"/>
        <w:spacing w:before="1" w:line="241" w:lineRule="auto"/>
        <w:ind w:left="8" w:right="5"/>
        <w:rPr>
          <w:rFonts w:ascii="宋体" w:hAnsi="宋体" w:eastAsia="宋体" w:cs="宋体"/>
          <w:sz w:val="24"/>
          <w:szCs w:val="24"/>
        </w:rPr>
      </w:pPr>
      <w:r>
        <w:rPr>
          <w:rFonts w:ascii="宋体" w:hAnsi="宋体" w:eastAsia="宋体" w:cs="宋体"/>
          <w:strike/>
          <w:color w:val="202935"/>
          <w:spacing w:val="-1"/>
          <w:sz w:val="24"/>
          <w:szCs w:val="24"/>
        </w:rPr>
        <w:t>度、浸水</w:t>
      </w:r>
      <w:r>
        <w:rPr>
          <w:rFonts w:ascii="宋体" w:hAnsi="宋体" w:eastAsia="宋体" w:cs="宋体"/>
          <w:strike/>
          <w:color w:val="202935"/>
          <w:spacing w:val="-55"/>
          <w:sz w:val="24"/>
          <w:szCs w:val="24"/>
        </w:rPr>
        <w:t xml:space="preserve"> </w:t>
      </w:r>
      <w:r>
        <w:rPr>
          <w:strike/>
          <w:color w:val="202935"/>
          <w:spacing w:val="-1"/>
          <w:sz w:val="24"/>
          <w:szCs w:val="24"/>
        </w:rPr>
        <w:t xml:space="preserve">48h </w:t>
      </w:r>
      <w:r>
        <w:rPr>
          <w:rFonts w:ascii="宋体" w:hAnsi="宋体" w:eastAsia="宋体" w:cs="宋体"/>
          <w:strike/>
          <w:color w:val="202935"/>
          <w:spacing w:val="-1"/>
          <w:sz w:val="24"/>
          <w:szCs w:val="24"/>
        </w:rPr>
        <w:t>且干燥</w:t>
      </w:r>
      <w:r>
        <w:rPr>
          <w:rFonts w:ascii="宋体" w:hAnsi="宋体" w:eastAsia="宋体" w:cs="宋体"/>
          <w:strike/>
          <w:color w:val="202935"/>
          <w:spacing w:val="-49"/>
          <w:sz w:val="24"/>
          <w:szCs w:val="24"/>
        </w:rPr>
        <w:t xml:space="preserve"> </w:t>
      </w:r>
      <w:r>
        <w:rPr>
          <w:strike/>
          <w:color w:val="202935"/>
          <w:spacing w:val="-1"/>
          <w:sz w:val="24"/>
          <w:szCs w:val="24"/>
        </w:rPr>
        <w:t xml:space="preserve">7d </w:t>
      </w:r>
      <w:r>
        <w:rPr>
          <w:rFonts w:ascii="宋体" w:hAnsi="宋体" w:eastAsia="宋体" w:cs="宋体"/>
          <w:strike/>
          <w:color w:val="202935"/>
          <w:spacing w:val="-1"/>
          <w:sz w:val="24"/>
          <w:szCs w:val="24"/>
        </w:rPr>
        <w:t>后的耐水强度条件下发生破坏时，破坏部位应位于保温板内。</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 xml:space="preserve">表 </w:t>
      </w:r>
      <w:r>
        <w:rPr>
          <w:strike/>
          <w:color w:val="202935"/>
          <w:spacing w:val="-1"/>
          <w:sz w:val="24"/>
          <w:szCs w:val="24"/>
        </w:rPr>
        <w:t>4.0.5</w:t>
      </w:r>
      <w:r>
        <w:rPr>
          <w:strike/>
          <w:color w:val="202935"/>
          <w:spacing w:val="17"/>
          <w:sz w:val="24"/>
          <w:szCs w:val="24"/>
        </w:rPr>
        <w:t xml:space="preserve">   </w:t>
      </w:r>
      <w:r>
        <w:rPr>
          <w:rFonts w:ascii="宋体" w:hAnsi="宋体" w:eastAsia="宋体" w:cs="宋体"/>
          <w:strike/>
          <w:color w:val="202935"/>
          <w:spacing w:val="-1"/>
          <w:sz w:val="24"/>
          <w:szCs w:val="24"/>
        </w:rPr>
        <w:t>胶粘剂拉伸粘结强度（</w:t>
      </w:r>
      <w:r>
        <w:rPr>
          <w:strike/>
          <w:color w:val="202935"/>
          <w:spacing w:val="-1"/>
          <w:sz w:val="24"/>
          <w:szCs w:val="24"/>
        </w:rPr>
        <w:t>MPa</w:t>
      </w:r>
      <w:r>
        <w:rPr>
          <w:strike/>
          <w:color w:val="202935"/>
          <w:spacing w:val="-32"/>
          <w:sz w:val="24"/>
          <w:szCs w:val="24"/>
        </w:rPr>
        <w:t xml:space="preserve"> </w:t>
      </w:r>
      <w:r>
        <w:rPr>
          <w:rFonts w:ascii="宋体" w:hAnsi="宋体" w:eastAsia="宋体" w:cs="宋体"/>
          <w:strike/>
          <w:color w:val="202935"/>
          <w:spacing w:val="-1"/>
          <w:sz w:val="24"/>
          <w:szCs w:val="24"/>
        </w:rPr>
        <w:t>）</w:t>
      </w:r>
    </w:p>
    <w:tbl>
      <w:tblPr>
        <w:tblStyle w:val="5"/>
        <w:tblW w:w="90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27"/>
        <w:gridCol w:w="3766"/>
        <w:gridCol w:w="2431"/>
        <w:gridCol w:w="843"/>
      </w:tblGrid>
      <w:tr w14:paraId="03AA4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5793" w:type="dxa"/>
            <w:gridSpan w:val="2"/>
            <w:vAlign w:val="top"/>
          </w:tcPr>
          <w:p w14:paraId="68942F20">
            <w:pPr>
              <w:spacing w:line="60" w:lineRule="exact"/>
              <w:ind w:firstLine="4"/>
            </w:pPr>
            <w:r>
              <w:rPr>
                <w:position w:val="-1"/>
              </w:rPr>
              <w:pict>
                <v:shape id="_x0000_s1050" o:spid="_x0000_s1050" style="height:3pt;width:289.1pt;" fillcolor="#FFFFFF" filled="t" stroked="f" coordsize="5782,60" path="m0,59l5781,59,5781,0,0,0,0,59xe">
                  <v:fill on="t" focussize="0,0"/>
                  <v:stroke on="f"/>
                  <v:imagedata o:title=""/>
                  <o:lock v:ext="edit"/>
                  <w10:wrap type="none"/>
                  <w10:anchorlock/>
                </v:shape>
              </w:pict>
            </w:r>
          </w:p>
          <w:p w14:paraId="475B18B5">
            <w:pPr>
              <w:spacing w:line="267" w:lineRule="auto"/>
              <w:rPr>
                <w:rFonts w:ascii="Arial"/>
                <w:sz w:val="21"/>
              </w:rPr>
            </w:pPr>
          </w:p>
          <w:p w14:paraId="07832525">
            <w:pPr>
              <w:pStyle w:val="6"/>
              <w:spacing w:before="78" w:line="212" w:lineRule="auto"/>
              <w:ind w:left="2424"/>
              <w:rPr>
                <w:sz w:val="24"/>
                <w:szCs w:val="24"/>
              </w:rPr>
            </w:pPr>
            <w:r>
              <w:rPr>
                <w:strike/>
                <w:color w:val="202935"/>
                <w:spacing w:val="-2"/>
                <w:sz w:val="24"/>
                <w:szCs w:val="24"/>
              </w:rPr>
              <w:t>检验项目</w:t>
            </w:r>
          </w:p>
          <w:p w14:paraId="2C9EC61B">
            <w:pPr>
              <w:spacing w:line="54" w:lineRule="exact"/>
            </w:pPr>
            <w:r>
              <w:rPr>
                <w:position w:val="-1"/>
              </w:rPr>
              <w:pict>
                <v:shape id="_x0000_s1051" o:spid="_x0000_s1051" style="height:3pt;width:289.6pt;" fillcolor="#FFFFFF" filled="t" stroked="f" coordsize="5792,60" path="m0,59l5791,59,5791,0,0,0,0,59xe">
                  <v:fill on="t" focussize="0,0"/>
                  <v:stroke on="f"/>
                  <v:imagedata o:title=""/>
                  <o:lock v:ext="edit"/>
                  <w10:wrap type="none"/>
                  <w10:anchorlock/>
                </v:shape>
              </w:pict>
            </w:r>
          </w:p>
        </w:tc>
        <w:tc>
          <w:tcPr>
            <w:tcW w:w="2431" w:type="dxa"/>
            <w:vAlign w:val="top"/>
          </w:tcPr>
          <w:p w14:paraId="36BB7818">
            <w:pPr>
              <w:spacing w:line="60" w:lineRule="exact"/>
              <w:ind w:firstLine="2"/>
            </w:pPr>
            <w:r>
              <w:rPr>
                <w:position w:val="-1"/>
              </w:rPr>
              <w:pict>
                <v:shape id="_x0000_s1052" o:spid="_x0000_s1052" style="height:3pt;width:121.15pt;" fillcolor="#FFFFFF" filled="t" stroked="f" coordsize="2423,60" path="m0,59l2422,59,2422,0,0,0,0,59xe">
                  <v:fill on="t" focussize="0,0"/>
                  <v:stroke on="f"/>
                  <v:imagedata o:title=""/>
                  <o:lock v:ext="edit"/>
                  <w10:wrap type="none"/>
                  <w10:anchorlock/>
                </v:shape>
              </w:pict>
            </w:r>
          </w:p>
          <w:p w14:paraId="00B200F7">
            <w:pPr>
              <w:spacing w:line="267" w:lineRule="auto"/>
              <w:rPr>
                <w:rFonts w:ascii="Arial"/>
                <w:sz w:val="21"/>
              </w:rPr>
            </w:pPr>
          </w:p>
          <w:p w14:paraId="63217D44">
            <w:pPr>
              <w:pStyle w:val="6"/>
              <w:spacing w:before="78" w:line="212" w:lineRule="auto"/>
              <w:ind w:left="627"/>
              <w:rPr>
                <w:sz w:val="24"/>
                <w:szCs w:val="24"/>
              </w:rPr>
            </w:pPr>
            <w:r>
              <w:rPr>
                <w:strike/>
                <w:color w:val="202935"/>
                <w:spacing w:val="-3"/>
                <w:sz w:val="24"/>
                <w:szCs w:val="24"/>
              </w:rPr>
              <w:t>与水泥砂浆</w:t>
            </w:r>
          </w:p>
          <w:p w14:paraId="635C7C68">
            <w:pPr>
              <w:spacing w:line="54" w:lineRule="exact"/>
            </w:pPr>
            <w:r>
              <w:rPr>
                <w:position w:val="-1"/>
              </w:rPr>
              <w:pict>
                <v:shape id="_x0000_s1053" o:spid="_x0000_s1053" style="height:3pt;width:121.65pt;" fillcolor="#FFFFFF" filled="t" stroked="f" coordsize="2433,60" path="m0,59l2432,59,2432,0,0,0,0,59xe">
                  <v:fill on="t" focussize="0,0"/>
                  <v:stroke on="f"/>
                  <v:imagedata o:title=""/>
                  <o:lock v:ext="edit"/>
                  <w10:wrap type="none"/>
                  <w10:anchorlock/>
                </v:shape>
              </w:pict>
            </w:r>
          </w:p>
        </w:tc>
        <w:tc>
          <w:tcPr>
            <w:tcW w:w="843" w:type="dxa"/>
            <w:vAlign w:val="top"/>
          </w:tcPr>
          <w:p w14:paraId="13ECBCA2">
            <w:pPr>
              <w:spacing w:line="60" w:lineRule="exact"/>
              <w:ind w:firstLine="4"/>
            </w:pPr>
            <w:r>
              <w:rPr>
                <w:position w:val="-1"/>
              </w:rPr>
              <w:pict>
                <v:shape id="_x0000_s1054" o:spid="_x0000_s1054" style="height:3pt;width:41.5pt;" fillcolor="#FFFFFF" filled="t" stroked="f" coordsize="830,60" path="m0,59l829,59,829,0,0,0,0,59xe">
                  <v:fill on="t" focussize="0,0"/>
                  <v:stroke on="f"/>
                  <v:imagedata o:title=""/>
                  <o:lock v:ext="edit"/>
                  <w10:wrap type="none"/>
                  <w10:anchorlock/>
                </v:shape>
              </w:pict>
            </w:r>
          </w:p>
          <w:p w14:paraId="318C2F89">
            <w:pPr>
              <w:pStyle w:val="6"/>
              <w:spacing w:before="36" w:line="220" w:lineRule="auto"/>
              <w:ind w:left="192"/>
              <w:rPr>
                <w:sz w:val="24"/>
                <w:szCs w:val="24"/>
              </w:rPr>
            </w:pPr>
            <w:r>
              <w:rPr>
                <w:strike/>
                <w:color w:val="202935"/>
                <w:spacing w:val="-4"/>
                <w:sz w:val="24"/>
                <w:szCs w:val="24"/>
              </w:rPr>
              <w:t>与保</w:t>
            </w:r>
          </w:p>
          <w:p w14:paraId="79AA9A55">
            <w:pPr>
              <w:pStyle w:val="6"/>
              <w:spacing w:before="25" w:line="212" w:lineRule="auto"/>
              <w:ind w:left="189"/>
              <w:rPr>
                <w:sz w:val="24"/>
                <w:szCs w:val="24"/>
              </w:rPr>
            </w:pPr>
            <w:r>
              <w:rPr>
                <w:strike/>
                <w:color w:val="202935"/>
                <w:spacing w:val="-3"/>
                <w:sz w:val="24"/>
                <w:szCs w:val="24"/>
              </w:rPr>
              <w:t>温板</w:t>
            </w:r>
          </w:p>
          <w:p w14:paraId="78E8BE11">
            <w:pPr>
              <w:spacing w:line="54" w:lineRule="exact"/>
            </w:pPr>
            <w:r>
              <w:rPr>
                <w:position w:val="-1"/>
              </w:rPr>
              <w:pict>
                <v:shape id="_x0000_s1055" o:spid="_x0000_s1055" style="height:3pt;width:41.95pt;" fillcolor="#FFFFFF" filled="t" stroked="f" coordsize="839,60" path="m0,59l838,59,838,0,0,0,0,59xe">
                  <v:fill on="t" focussize="0,0"/>
                  <v:stroke on="f"/>
                  <v:imagedata o:title=""/>
                  <o:lock v:ext="edit"/>
                  <w10:wrap type="none"/>
                  <w10:anchorlock/>
                </v:shape>
              </w:pict>
            </w:r>
          </w:p>
        </w:tc>
      </w:tr>
      <w:tr w14:paraId="66ED2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793" w:type="dxa"/>
            <w:gridSpan w:val="2"/>
            <w:vAlign w:val="top"/>
          </w:tcPr>
          <w:p w14:paraId="19756560">
            <w:pPr>
              <w:spacing w:line="59" w:lineRule="exact"/>
              <w:ind w:firstLine="4"/>
            </w:pPr>
            <w:r>
              <w:rPr>
                <w:position w:val="-1"/>
              </w:rPr>
              <w:pict>
                <v:shape id="_x0000_s1056" o:spid="_x0000_s1056" style="height:3pt;width:289.1pt;" fillcolor="#FFFFFF" filled="t" stroked="f" coordsize="5782,60" path="m0,59l5781,59,5781,0,0,0,0,59xe">
                  <v:fill on="t" focussize="0,0"/>
                  <v:stroke on="f"/>
                  <v:imagedata o:title=""/>
                  <o:lock v:ext="edit"/>
                  <w10:wrap type="none"/>
                  <w10:anchorlock/>
                </v:shape>
              </w:pict>
            </w:r>
          </w:p>
          <w:p w14:paraId="1EEE84AA">
            <w:pPr>
              <w:pStyle w:val="6"/>
              <w:spacing w:before="37" w:line="212" w:lineRule="auto"/>
              <w:ind w:left="2550"/>
              <w:rPr>
                <w:sz w:val="24"/>
                <w:szCs w:val="24"/>
              </w:rPr>
            </w:pPr>
            <w:r>
              <w:rPr>
                <w:strike/>
                <w:color w:val="202935"/>
                <w:spacing w:val="-4"/>
                <w:sz w:val="24"/>
                <w:szCs w:val="24"/>
              </w:rPr>
              <w:t>原强度</w:t>
            </w:r>
          </w:p>
          <w:p w14:paraId="01A52217">
            <w:pPr>
              <w:spacing w:line="52" w:lineRule="exact"/>
            </w:pPr>
            <w:r>
              <w:rPr>
                <w:position w:val="-1"/>
              </w:rPr>
              <w:drawing>
                <wp:inline distT="0" distB="0" distL="0" distR="0">
                  <wp:extent cx="3675380" cy="3302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93"/>
                          <a:stretch>
                            <a:fillRect/>
                          </a:stretch>
                        </pic:blipFill>
                        <pic:spPr>
                          <a:xfrm>
                            <a:off x="0" y="0"/>
                            <a:ext cx="3675380" cy="33498"/>
                          </a:xfrm>
                          <a:prstGeom prst="rect">
                            <a:avLst/>
                          </a:prstGeom>
                        </pic:spPr>
                      </pic:pic>
                    </a:graphicData>
                  </a:graphic>
                </wp:inline>
              </w:drawing>
            </w:r>
          </w:p>
        </w:tc>
        <w:tc>
          <w:tcPr>
            <w:tcW w:w="2431" w:type="dxa"/>
            <w:vAlign w:val="top"/>
          </w:tcPr>
          <w:p w14:paraId="52A6030C">
            <w:pPr>
              <w:spacing w:line="57" w:lineRule="exact"/>
              <w:ind w:firstLine="2"/>
            </w:pPr>
            <w:r>
              <w:rPr>
                <w:position w:val="-1"/>
              </w:rPr>
              <w:pict>
                <v:shape id="_x0000_s1057" o:spid="_x0000_s1057" style="height:3pt;width:121.15pt;" fillcolor="#FFFFFF" filled="t" stroked="f" coordsize="2423,60" path="m0,59l2422,59,2422,0,0,0,0,59xe">
                  <v:fill on="t" focussize="0,0"/>
                  <v:stroke on="f"/>
                  <v:imagedata o:title=""/>
                  <o:lock v:ext="edit"/>
                  <w10:wrap type="none"/>
                  <w10:anchorlock/>
                </v:shape>
              </w:pict>
            </w:r>
          </w:p>
          <w:p w14:paraId="29587799">
            <w:pPr>
              <w:spacing w:line="324" w:lineRule="exact"/>
              <w:ind w:left="923"/>
              <w:rPr>
                <w:rFonts w:ascii="Arial" w:hAnsi="Arial" w:eastAsia="Arial" w:cs="Arial"/>
                <w:sz w:val="24"/>
                <w:szCs w:val="24"/>
              </w:rPr>
            </w:pPr>
            <w:r>
              <w:pict>
                <v:shape id="_x0000_s1058" o:spid="_x0000_s1058" style="position:absolute;left:0pt;margin-left:-0.1pt;margin-top:15.75pt;height:3pt;width:121.65pt;z-index:251682816;mso-width-relative:page;mso-height-relative:page;" fillcolor="#FFFFFF" filled="t" stroked="f" coordsize="2433,60" path="m0,59l2432,59,2432,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60</w:t>
            </w:r>
          </w:p>
        </w:tc>
        <w:tc>
          <w:tcPr>
            <w:tcW w:w="843" w:type="dxa"/>
            <w:vAlign w:val="top"/>
          </w:tcPr>
          <w:p w14:paraId="60D95DC9">
            <w:pPr>
              <w:spacing w:line="57" w:lineRule="exact"/>
              <w:ind w:firstLine="4"/>
            </w:pPr>
            <w:r>
              <w:rPr>
                <w:position w:val="-1"/>
              </w:rPr>
              <w:pict>
                <v:shape id="_x0000_s1059" o:spid="_x0000_s1059" style="height:3pt;width:41.5pt;" fillcolor="#FFFFFF" filled="t" stroked="f" coordsize="830,60" path="m0,59l829,59,829,0,0,0,0,59xe">
                  <v:fill on="t" focussize="0,0"/>
                  <v:stroke on="f"/>
                  <v:imagedata o:title=""/>
                  <o:lock v:ext="edit"/>
                  <w10:wrap type="none"/>
                  <w10:anchorlock/>
                </v:shape>
              </w:pict>
            </w:r>
          </w:p>
          <w:p w14:paraId="3E668733">
            <w:pPr>
              <w:spacing w:line="324" w:lineRule="exact"/>
              <w:ind w:left="128"/>
              <w:rPr>
                <w:rFonts w:ascii="Arial" w:hAnsi="Arial" w:eastAsia="Arial" w:cs="Arial"/>
                <w:sz w:val="24"/>
                <w:szCs w:val="24"/>
              </w:rPr>
            </w:pPr>
            <w:r>
              <w:pict>
                <v:shape id="_x0000_s1060" o:spid="_x0000_s1060" style="position:absolute;left:0pt;margin-left:0pt;margin-top:15.75pt;height:3pt;width:41.95pt;z-index:251679744;mso-width-relative:page;mso-height-relative:page;" fillcolor="#FFFFFF" filled="t" stroked="f" coordsize="839,60" path="m0,59l838,59,838,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10</w:t>
            </w:r>
          </w:p>
        </w:tc>
      </w:tr>
      <w:tr w14:paraId="36F97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2027" w:type="dxa"/>
            <w:vMerge w:val="restart"/>
            <w:tcBorders>
              <w:top w:val="nil"/>
              <w:bottom w:val="nil"/>
            </w:tcBorders>
            <w:vAlign w:val="top"/>
          </w:tcPr>
          <w:p w14:paraId="51DBEF54">
            <w:pPr>
              <w:spacing w:before="1" w:line="60" w:lineRule="exact"/>
              <w:ind w:firstLine="4"/>
            </w:pPr>
            <w:r>
              <w:rPr>
                <w:position w:val="-1"/>
              </w:rPr>
              <w:pict>
                <v:shape id="_x0000_s1061" o:spid="_x0000_s1061" style="height:3pt;width:100.7pt;" fillcolor="#FFFFFF" filled="t" stroked="f" coordsize="2013,60" path="m0,59l2013,59,2013,0,0,0,0,59xe">
                  <v:fill on="t" focussize="0,0"/>
                  <v:stroke on="f"/>
                  <v:imagedata o:title=""/>
                  <o:lock v:ext="edit"/>
                  <w10:wrap type="none"/>
                  <w10:anchorlock/>
                </v:shape>
              </w:pict>
            </w:r>
          </w:p>
          <w:p w14:paraId="1274312D">
            <w:pPr>
              <w:spacing w:line="396" w:lineRule="auto"/>
              <w:rPr>
                <w:rFonts w:ascii="Arial"/>
                <w:sz w:val="21"/>
              </w:rPr>
            </w:pPr>
          </w:p>
          <w:p w14:paraId="6C21197C">
            <w:pPr>
              <w:pStyle w:val="6"/>
              <w:spacing w:before="78" w:line="213" w:lineRule="auto"/>
              <w:ind w:left="543"/>
              <w:rPr>
                <w:sz w:val="24"/>
                <w:szCs w:val="24"/>
              </w:rPr>
            </w:pPr>
            <w:r>
              <w:rPr>
                <w:strike/>
                <w:color w:val="202935"/>
                <w:spacing w:val="-3"/>
                <w:sz w:val="24"/>
                <w:szCs w:val="24"/>
              </w:rPr>
              <w:t>耐水强度</w:t>
            </w:r>
          </w:p>
          <w:p w14:paraId="767FE9AE">
            <w:pPr>
              <w:spacing w:line="53" w:lineRule="exact"/>
              <w:ind w:firstLine="4"/>
            </w:pPr>
            <w:r>
              <w:rPr>
                <w:position w:val="-1"/>
              </w:rPr>
              <w:pict>
                <v:shape id="_x0000_s1062" o:spid="_x0000_s1062" style="height:3pt;width:100.7pt;" fillcolor="#000000" filled="t" stroked="f" coordsize="2013,60" path="m0,59l2013,59,2013,0,0,0,0,59xe">
                  <v:fill on="t" focussize="0,0"/>
                  <v:stroke on="f"/>
                  <v:imagedata o:title=""/>
                  <o:lock v:ext="edit"/>
                  <w10:wrap type="none"/>
                  <w10:anchorlock/>
                </v:shape>
              </w:pict>
            </w:r>
          </w:p>
        </w:tc>
        <w:tc>
          <w:tcPr>
            <w:tcW w:w="3766" w:type="dxa"/>
            <w:tcBorders>
              <w:top w:val="nil"/>
            </w:tcBorders>
            <w:vAlign w:val="top"/>
          </w:tcPr>
          <w:p w14:paraId="544C6941">
            <w:pPr>
              <w:spacing w:before="1" w:line="57" w:lineRule="exact"/>
            </w:pPr>
            <w:r>
              <w:rPr>
                <w:position w:val="-1"/>
              </w:rPr>
              <w:pict>
                <v:shape id="_x0000_s1063" o:spid="_x0000_s1063" style="height:3pt;width:187.95pt;" fillcolor="#FFFFFF" filled="t" stroked="f" coordsize="3758,60" path="m0,59l3758,59,3758,0,0,0,0,59xe">
                  <v:fill on="t" focussize="0,0"/>
                  <v:stroke on="f"/>
                  <v:imagedata o:title=""/>
                  <o:lock v:ext="edit"/>
                  <w10:wrap type="none"/>
                  <w10:anchorlock/>
                </v:shape>
              </w:pict>
            </w:r>
          </w:p>
          <w:p w14:paraId="3A6C56E5">
            <w:pPr>
              <w:pStyle w:val="6"/>
              <w:spacing w:line="319" w:lineRule="exact"/>
              <w:ind w:left="895"/>
              <w:rPr>
                <w:rFonts w:ascii="Arial" w:hAnsi="Arial" w:eastAsia="Arial" w:cs="Arial"/>
                <w:sz w:val="24"/>
                <w:szCs w:val="24"/>
              </w:rPr>
            </w:pPr>
            <w:r>
              <w:rPr>
                <w:strike/>
                <w:color w:val="202935"/>
                <w:spacing w:val="-5"/>
                <w:position w:val="1"/>
                <w:sz w:val="24"/>
                <w:szCs w:val="24"/>
              </w:rPr>
              <w:t>浸水</w:t>
            </w:r>
            <w:r>
              <w:rPr>
                <w:strike/>
                <w:color w:val="202935"/>
                <w:spacing w:val="-53"/>
                <w:position w:val="1"/>
                <w:sz w:val="24"/>
                <w:szCs w:val="24"/>
              </w:rPr>
              <w:t xml:space="preserve"> </w:t>
            </w:r>
            <w:r>
              <w:rPr>
                <w:rFonts w:ascii="Arial" w:hAnsi="Arial" w:eastAsia="Arial" w:cs="Arial"/>
                <w:strike/>
                <w:color w:val="202935"/>
                <w:spacing w:val="-5"/>
                <w:position w:val="1"/>
                <w:sz w:val="24"/>
                <w:szCs w:val="24"/>
              </w:rPr>
              <w:t>48h</w:t>
            </w:r>
            <w:r>
              <w:rPr>
                <w:rFonts w:ascii="Arial" w:hAnsi="Arial" w:eastAsia="Arial" w:cs="Arial"/>
                <w:strike/>
                <w:color w:val="202935"/>
                <w:spacing w:val="-38"/>
                <w:position w:val="1"/>
                <w:sz w:val="24"/>
                <w:szCs w:val="24"/>
              </w:rPr>
              <w:t xml:space="preserve"> </w:t>
            </w:r>
            <w:r>
              <w:rPr>
                <w:strike/>
                <w:color w:val="202935"/>
                <w:spacing w:val="-5"/>
                <w:position w:val="1"/>
                <w:sz w:val="24"/>
                <w:szCs w:val="24"/>
              </w:rPr>
              <w:t>，干燥</w:t>
            </w:r>
            <w:r>
              <w:rPr>
                <w:strike/>
                <w:color w:val="202935"/>
                <w:spacing w:val="-53"/>
                <w:position w:val="1"/>
                <w:sz w:val="24"/>
                <w:szCs w:val="24"/>
              </w:rPr>
              <w:t xml:space="preserve"> </w:t>
            </w:r>
            <w:r>
              <w:rPr>
                <w:rFonts w:ascii="Arial" w:hAnsi="Arial" w:eastAsia="Arial" w:cs="Arial"/>
                <w:strike/>
                <w:color w:val="202935"/>
                <w:spacing w:val="-5"/>
                <w:position w:val="1"/>
                <w:sz w:val="24"/>
                <w:szCs w:val="24"/>
              </w:rPr>
              <w:t>2h</w:t>
            </w:r>
          </w:p>
          <w:p w14:paraId="61E74D5D">
            <w:pPr>
              <w:spacing w:line="47" w:lineRule="exact"/>
            </w:pPr>
            <w:r>
              <w:rPr>
                <w:position w:val="-1"/>
              </w:rPr>
              <w:pict>
                <v:shape id="_x0000_s1064" o:spid="_x0000_s1064" style="height:3pt;width:188.4pt;" fillcolor="#FFFFFF" filled="t" stroked="f" coordsize="3767,60" path="m0,59l3767,59,3767,0,0,0,0,59xe">
                  <v:fill on="t" focussize="0,0"/>
                  <v:stroke on="f"/>
                  <v:imagedata o:title=""/>
                  <o:lock v:ext="edit"/>
                  <w10:wrap type="none"/>
                  <w10:anchorlock/>
                </v:shape>
              </w:pict>
            </w:r>
          </w:p>
        </w:tc>
        <w:tc>
          <w:tcPr>
            <w:tcW w:w="2431" w:type="dxa"/>
            <w:tcBorders>
              <w:top w:val="nil"/>
            </w:tcBorders>
            <w:vAlign w:val="top"/>
          </w:tcPr>
          <w:p w14:paraId="2DDCADE9">
            <w:pPr>
              <w:spacing w:before="1" w:line="57" w:lineRule="exact"/>
              <w:ind w:firstLine="2"/>
            </w:pPr>
            <w:r>
              <w:rPr>
                <w:position w:val="-1"/>
              </w:rPr>
              <w:pict>
                <v:shape id="_x0000_s1065" o:spid="_x0000_s1065" style="height:3pt;width:121.15pt;" fillcolor="#FFFFFF" filled="t" stroked="f" coordsize="2423,60" path="m0,59l2422,59,2422,0,0,0,0,59xe">
                  <v:fill on="t" focussize="0,0"/>
                  <v:stroke on="f"/>
                  <v:imagedata o:title=""/>
                  <o:lock v:ext="edit"/>
                  <w10:wrap type="none"/>
                  <w10:anchorlock/>
                </v:shape>
              </w:pict>
            </w:r>
          </w:p>
          <w:p w14:paraId="260AE579">
            <w:pPr>
              <w:spacing w:line="324" w:lineRule="exact"/>
              <w:ind w:left="923"/>
              <w:rPr>
                <w:rFonts w:ascii="Arial" w:hAnsi="Arial" w:eastAsia="Arial" w:cs="Arial"/>
                <w:sz w:val="24"/>
                <w:szCs w:val="24"/>
              </w:rPr>
            </w:pPr>
            <w:r>
              <w:pict>
                <v:shape id="_x0000_s1066" o:spid="_x0000_s1066" style="position:absolute;left:0pt;margin-left:-0.1pt;margin-top:15.7pt;height:3pt;width:121.65pt;z-index:251681792;mso-width-relative:page;mso-height-relative:page;" fillcolor="#FFFFFF" filled="t" stroked="f" coordsize="2433,60" path="m0,59l2432,59,2432,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30</w:t>
            </w:r>
          </w:p>
        </w:tc>
        <w:tc>
          <w:tcPr>
            <w:tcW w:w="843" w:type="dxa"/>
            <w:tcBorders>
              <w:top w:val="nil"/>
            </w:tcBorders>
            <w:vAlign w:val="top"/>
          </w:tcPr>
          <w:p w14:paraId="6811F4E0">
            <w:pPr>
              <w:spacing w:before="1" w:line="57" w:lineRule="exact"/>
              <w:ind w:firstLine="4"/>
            </w:pPr>
            <w:r>
              <w:rPr>
                <w:position w:val="-1"/>
              </w:rPr>
              <w:pict>
                <v:shape id="_x0000_s1067" o:spid="_x0000_s1067" style="height:3pt;width:41.5pt;" fillcolor="#FFFFFF" filled="t" stroked="f" coordsize="830,60" path="m0,59l829,59,829,0,0,0,0,59xe">
                  <v:fill on="t" focussize="0,0"/>
                  <v:stroke on="f"/>
                  <v:imagedata o:title=""/>
                  <o:lock v:ext="edit"/>
                  <w10:wrap type="none"/>
                  <w10:anchorlock/>
                </v:shape>
              </w:pict>
            </w:r>
          </w:p>
          <w:p w14:paraId="1AA2E294">
            <w:pPr>
              <w:spacing w:line="324" w:lineRule="exact"/>
              <w:ind w:left="128"/>
              <w:rPr>
                <w:rFonts w:ascii="Arial" w:hAnsi="Arial" w:eastAsia="Arial" w:cs="Arial"/>
                <w:sz w:val="24"/>
                <w:szCs w:val="24"/>
              </w:rPr>
            </w:pPr>
            <w:r>
              <w:pict>
                <v:shape id="_x0000_s1068" o:spid="_x0000_s1068" style="position:absolute;left:0pt;margin-left:0pt;margin-top:15.7pt;height:3pt;width:41.95pt;z-index:251680768;mso-width-relative:page;mso-height-relative:page;" fillcolor="#FFFFFF" filled="t" stroked="f" coordsize="839,60" path="m0,59l838,59,838,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06</w:t>
            </w:r>
          </w:p>
        </w:tc>
      </w:tr>
      <w:tr w14:paraId="30D42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2027" w:type="dxa"/>
            <w:vMerge w:val="continue"/>
            <w:tcBorders>
              <w:top w:val="nil"/>
            </w:tcBorders>
            <w:vAlign w:val="top"/>
          </w:tcPr>
          <w:p w14:paraId="079E920F">
            <w:pPr>
              <w:rPr>
                <w:rFonts w:ascii="Arial"/>
                <w:sz w:val="21"/>
              </w:rPr>
            </w:pPr>
          </w:p>
        </w:tc>
        <w:tc>
          <w:tcPr>
            <w:tcW w:w="3766" w:type="dxa"/>
            <w:vAlign w:val="top"/>
          </w:tcPr>
          <w:p w14:paraId="426647E5">
            <w:pPr>
              <w:spacing w:before="2" w:line="56" w:lineRule="exact"/>
            </w:pPr>
            <w:r>
              <w:rPr>
                <w:position w:val="-1"/>
              </w:rPr>
              <w:pict>
                <v:shape id="_x0000_s1069" o:spid="_x0000_s1069" style="height:3pt;width:187.95pt;" fillcolor="#FFFFFF" filled="t" stroked="f" coordsize="3758,60" path="m0,59l3758,59,3758,0,0,0,0,59xe">
                  <v:fill on="t" focussize="0,0"/>
                  <v:stroke on="f"/>
                  <v:imagedata o:title=""/>
                  <o:lock v:ext="edit"/>
                  <w10:wrap type="none"/>
                  <w10:anchorlock/>
                </v:shape>
              </w:pict>
            </w:r>
          </w:p>
          <w:p w14:paraId="6E3CBE20">
            <w:pPr>
              <w:pStyle w:val="6"/>
              <w:spacing w:line="319" w:lineRule="exact"/>
              <w:ind w:left="895"/>
              <w:rPr>
                <w:rFonts w:ascii="Arial" w:hAnsi="Arial" w:eastAsia="Arial" w:cs="Arial"/>
                <w:sz w:val="24"/>
                <w:szCs w:val="24"/>
              </w:rPr>
            </w:pPr>
            <w:r>
              <w:rPr>
                <w:strike/>
                <w:color w:val="202935"/>
                <w:spacing w:val="-5"/>
                <w:position w:val="1"/>
                <w:sz w:val="24"/>
                <w:szCs w:val="24"/>
              </w:rPr>
              <w:t>浸水</w:t>
            </w:r>
            <w:r>
              <w:rPr>
                <w:strike/>
                <w:color w:val="202935"/>
                <w:spacing w:val="-55"/>
                <w:position w:val="1"/>
                <w:sz w:val="24"/>
                <w:szCs w:val="24"/>
              </w:rPr>
              <w:t xml:space="preserve"> </w:t>
            </w:r>
            <w:r>
              <w:rPr>
                <w:rFonts w:ascii="Arial" w:hAnsi="Arial" w:eastAsia="Arial" w:cs="Arial"/>
                <w:strike/>
                <w:color w:val="202935"/>
                <w:spacing w:val="-5"/>
                <w:position w:val="1"/>
                <w:sz w:val="24"/>
                <w:szCs w:val="24"/>
              </w:rPr>
              <w:t>48h</w:t>
            </w:r>
            <w:r>
              <w:rPr>
                <w:rFonts w:ascii="Arial" w:hAnsi="Arial" w:eastAsia="Arial" w:cs="Arial"/>
                <w:strike/>
                <w:color w:val="202935"/>
                <w:spacing w:val="-38"/>
                <w:position w:val="1"/>
                <w:sz w:val="24"/>
                <w:szCs w:val="24"/>
              </w:rPr>
              <w:t xml:space="preserve"> </w:t>
            </w:r>
            <w:r>
              <w:rPr>
                <w:strike/>
                <w:color w:val="202935"/>
                <w:spacing w:val="-5"/>
                <w:position w:val="1"/>
                <w:sz w:val="24"/>
                <w:szCs w:val="24"/>
              </w:rPr>
              <w:t>，干燥</w:t>
            </w:r>
            <w:r>
              <w:rPr>
                <w:strike/>
                <w:color w:val="202935"/>
                <w:spacing w:val="-49"/>
                <w:position w:val="1"/>
                <w:sz w:val="24"/>
                <w:szCs w:val="24"/>
              </w:rPr>
              <w:t xml:space="preserve"> </w:t>
            </w:r>
            <w:r>
              <w:rPr>
                <w:rFonts w:ascii="Arial" w:hAnsi="Arial" w:eastAsia="Arial" w:cs="Arial"/>
                <w:strike/>
                <w:color w:val="202935"/>
                <w:spacing w:val="-5"/>
                <w:position w:val="1"/>
                <w:sz w:val="24"/>
                <w:szCs w:val="24"/>
              </w:rPr>
              <w:t>7d</w:t>
            </w:r>
          </w:p>
          <w:p w14:paraId="42D9747A">
            <w:pPr>
              <w:spacing w:line="50" w:lineRule="exact"/>
            </w:pPr>
            <w:r>
              <w:rPr>
                <w:position w:val="-1"/>
              </w:rPr>
              <w:pict>
                <v:shape id="_x0000_s1070" o:spid="_x0000_s1070" style="height:3pt;width:188.4pt;" fillcolor="#FFFFFF" filled="t" stroked="f" coordsize="3767,60" path="m0,59l3767,59,3767,0,0,0,0,59xe">
                  <v:fill on="t" focussize="0,0"/>
                  <v:stroke on="f"/>
                  <v:imagedata o:title=""/>
                  <o:lock v:ext="edit"/>
                  <w10:wrap type="none"/>
                  <w10:anchorlock/>
                </v:shape>
              </w:pict>
            </w:r>
          </w:p>
        </w:tc>
        <w:tc>
          <w:tcPr>
            <w:tcW w:w="2431" w:type="dxa"/>
            <w:vAlign w:val="top"/>
          </w:tcPr>
          <w:p w14:paraId="6970EB5D">
            <w:pPr>
              <w:spacing w:before="2" w:line="57" w:lineRule="exact"/>
              <w:ind w:firstLine="2"/>
            </w:pPr>
            <w:r>
              <w:rPr>
                <w:position w:val="-1"/>
              </w:rPr>
              <w:pict>
                <v:shape id="_x0000_s1071" o:spid="_x0000_s1071" style="height:3pt;width:121.15pt;" fillcolor="#FFFFFF" filled="t" stroked="f" coordsize="2423,60" path="m0,59l2422,59,2422,0,0,0,0,59xe">
                  <v:fill on="t" focussize="0,0"/>
                  <v:stroke on="f"/>
                  <v:imagedata o:title=""/>
                  <o:lock v:ext="edit"/>
                  <w10:wrap type="none"/>
                  <w10:anchorlock/>
                </v:shape>
              </w:pict>
            </w:r>
          </w:p>
          <w:p w14:paraId="1BBCB7BC">
            <w:pPr>
              <w:spacing w:line="319" w:lineRule="exact"/>
              <w:ind w:left="923"/>
              <w:rPr>
                <w:rFonts w:ascii="Arial" w:hAnsi="Arial" w:eastAsia="Arial" w:cs="Arial"/>
                <w:sz w:val="24"/>
                <w:szCs w:val="24"/>
              </w:rPr>
            </w:pP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60</w:t>
            </w:r>
          </w:p>
          <w:p w14:paraId="49834747">
            <w:pPr>
              <w:spacing w:line="49" w:lineRule="exact"/>
            </w:pPr>
            <w:r>
              <w:rPr>
                <w:position w:val="-1"/>
              </w:rPr>
              <w:pict>
                <v:shape id="_x0000_s1072" o:spid="_x0000_s1072" style="height:3pt;width:121.65pt;" fillcolor="#FFFFFF" filled="t" stroked="f" coordsize="2433,60" path="m0,59l2432,59,2432,0,0,0,0,59xe">
                  <v:fill on="t" focussize="0,0"/>
                  <v:stroke on="f"/>
                  <v:imagedata o:title=""/>
                  <o:lock v:ext="edit"/>
                  <w10:wrap type="none"/>
                  <w10:anchorlock/>
                </v:shape>
              </w:pict>
            </w:r>
          </w:p>
        </w:tc>
        <w:tc>
          <w:tcPr>
            <w:tcW w:w="843" w:type="dxa"/>
            <w:vAlign w:val="top"/>
          </w:tcPr>
          <w:p w14:paraId="0E7526C1">
            <w:pPr>
              <w:spacing w:before="2" w:line="57" w:lineRule="exact"/>
              <w:ind w:firstLine="4"/>
            </w:pPr>
            <w:r>
              <w:rPr>
                <w:position w:val="-1"/>
              </w:rPr>
              <w:pict>
                <v:shape id="_x0000_s1073" o:spid="_x0000_s1073" style="height:3pt;width:41.5pt;" fillcolor="#FFFFFF" filled="t" stroked="f" coordsize="830,60" path="m0,59l829,59,829,0,0,0,0,59xe">
                  <v:fill on="t" focussize="0,0"/>
                  <v:stroke on="f"/>
                  <v:imagedata o:title=""/>
                  <o:lock v:ext="edit"/>
                  <w10:wrap type="none"/>
                  <w10:anchorlock/>
                </v:shape>
              </w:pict>
            </w:r>
          </w:p>
          <w:p w14:paraId="6680DF74">
            <w:pPr>
              <w:spacing w:line="319" w:lineRule="exact"/>
              <w:ind w:left="128"/>
              <w:rPr>
                <w:rFonts w:ascii="Arial" w:hAnsi="Arial" w:eastAsia="Arial" w:cs="Arial"/>
                <w:sz w:val="24"/>
                <w:szCs w:val="24"/>
              </w:rPr>
            </w:pP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10</w:t>
            </w:r>
          </w:p>
          <w:p w14:paraId="3446FF33">
            <w:pPr>
              <w:spacing w:line="49" w:lineRule="exact"/>
            </w:pPr>
            <w:r>
              <w:rPr>
                <w:position w:val="-1"/>
              </w:rPr>
              <w:pict>
                <v:shape id="_x0000_s1074" o:spid="_x0000_s1074" style="height:3pt;width:41.95pt;" fillcolor="#FFFFFF" filled="t" stroked="f" coordsize="839,60" path="m0,59l838,59,838,0,0,0,0,59xe">
                  <v:fill on="t" focussize="0,0"/>
                  <v:stroke on="f"/>
                  <v:imagedata o:title=""/>
                  <o:lock v:ext="edit"/>
                  <w10:wrap type="none"/>
                  <w10:anchorlock/>
                </v:shape>
              </w:pict>
            </w:r>
          </w:p>
        </w:tc>
      </w:tr>
    </w:tbl>
    <w:p w14:paraId="2EA11BD7">
      <w:pPr>
        <w:pStyle w:val="2"/>
        <w:spacing w:line="255" w:lineRule="auto"/>
        <w:ind w:left="14" w:right="4" w:hanging="11"/>
        <w:rPr>
          <w:rFonts w:ascii="宋体" w:hAnsi="宋体" w:eastAsia="宋体" w:cs="宋体"/>
          <w:sz w:val="24"/>
          <w:szCs w:val="24"/>
        </w:rPr>
      </w:pPr>
      <w:r>
        <w:rPr>
          <w:strike/>
          <w:color w:val="202935"/>
          <w:sz w:val="24"/>
          <w:szCs w:val="24"/>
        </w:rPr>
        <w:t xml:space="preserve">4.0.7   </w:t>
      </w:r>
      <w:r>
        <w:rPr>
          <w:rFonts w:ascii="宋体" w:hAnsi="宋体" w:eastAsia="宋体" w:cs="宋体"/>
          <w:strike/>
          <w:color w:val="202935"/>
          <w:sz w:val="24"/>
          <w:szCs w:val="24"/>
        </w:rPr>
        <w:t>抹面胶浆拉伸粘结强度应符合表</w:t>
      </w:r>
      <w:r>
        <w:rPr>
          <w:rFonts w:ascii="宋体" w:hAnsi="宋体" w:eastAsia="宋体" w:cs="宋体"/>
          <w:strike/>
          <w:color w:val="202935"/>
          <w:spacing w:val="-53"/>
          <w:sz w:val="24"/>
          <w:szCs w:val="24"/>
        </w:rPr>
        <w:t xml:space="preserve"> </w:t>
      </w:r>
      <w:r>
        <w:rPr>
          <w:strike/>
          <w:color w:val="202935"/>
          <w:sz w:val="24"/>
          <w:szCs w:val="24"/>
        </w:rPr>
        <w:t>4.0.7</w:t>
      </w:r>
      <w:r>
        <w:rPr>
          <w:strike/>
          <w:color w:val="202935"/>
          <w:spacing w:val="22"/>
          <w:sz w:val="24"/>
          <w:szCs w:val="24"/>
        </w:rPr>
        <w:t xml:space="preserve"> </w:t>
      </w:r>
      <w:r>
        <w:rPr>
          <w:rFonts w:ascii="宋体" w:hAnsi="宋体" w:eastAsia="宋体" w:cs="宋体"/>
          <w:strike/>
          <w:color w:val="202935"/>
          <w:sz w:val="24"/>
          <w:szCs w:val="24"/>
        </w:rPr>
        <w:t>的规定。抹面胶浆与保温材料的粘接在</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原强度、浸水</w:t>
      </w:r>
      <w:r>
        <w:rPr>
          <w:rFonts w:ascii="宋体" w:hAnsi="宋体" w:eastAsia="宋体" w:cs="宋体"/>
          <w:strike/>
          <w:color w:val="202935"/>
          <w:spacing w:val="-56"/>
          <w:sz w:val="24"/>
          <w:szCs w:val="24"/>
        </w:rPr>
        <w:t xml:space="preserve"> </w:t>
      </w:r>
      <w:r>
        <w:rPr>
          <w:strike/>
          <w:color w:val="202935"/>
          <w:spacing w:val="-1"/>
          <w:sz w:val="24"/>
          <w:szCs w:val="24"/>
        </w:rPr>
        <w:t xml:space="preserve">48h </w:t>
      </w:r>
      <w:r>
        <w:rPr>
          <w:rFonts w:ascii="宋体" w:hAnsi="宋体" w:eastAsia="宋体" w:cs="宋体"/>
          <w:strike/>
          <w:color w:val="202935"/>
          <w:spacing w:val="-1"/>
          <w:sz w:val="24"/>
          <w:szCs w:val="24"/>
        </w:rPr>
        <w:t>且干燥</w:t>
      </w:r>
      <w:r>
        <w:rPr>
          <w:rFonts w:ascii="宋体" w:hAnsi="宋体" w:eastAsia="宋体" w:cs="宋体"/>
          <w:strike/>
          <w:color w:val="202935"/>
          <w:spacing w:val="-49"/>
          <w:sz w:val="24"/>
          <w:szCs w:val="24"/>
        </w:rPr>
        <w:t xml:space="preserve"> </w:t>
      </w:r>
      <w:r>
        <w:rPr>
          <w:strike/>
          <w:color w:val="202935"/>
          <w:spacing w:val="-1"/>
          <w:sz w:val="24"/>
          <w:szCs w:val="24"/>
        </w:rPr>
        <w:t xml:space="preserve">7d </w:t>
      </w:r>
      <w:r>
        <w:rPr>
          <w:rFonts w:ascii="宋体" w:hAnsi="宋体" w:eastAsia="宋体" w:cs="宋体"/>
          <w:strike/>
          <w:color w:val="202935"/>
          <w:spacing w:val="-1"/>
          <w:sz w:val="24"/>
          <w:szCs w:val="24"/>
        </w:rPr>
        <w:t>后的耐水强度条件下发生破坏时，破坏部位应位</w:t>
      </w:r>
      <w:r>
        <w:rPr>
          <w:rFonts w:ascii="宋体" w:hAnsi="宋体" w:eastAsia="宋体" w:cs="宋体"/>
          <w:strike/>
          <w:color w:val="202935"/>
          <w:spacing w:val="-2"/>
          <w:sz w:val="24"/>
          <w:szCs w:val="24"/>
        </w:rPr>
        <w:t>于保温材</w:t>
      </w:r>
    </w:p>
    <w:p w14:paraId="34F87AEB">
      <w:pPr>
        <w:spacing w:line="206" w:lineRule="auto"/>
        <w:ind w:left="9"/>
        <w:rPr>
          <w:rFonts w:ascii="宋体" w:hAnsi="宋体" w:eastAsia="宋体" w:cs="宋体"/>
          <w:sz w:val="24"/>
          <w:szCs w:val="24"/>
        </w:rPr>
      </w:pPr>
      <w:r>
        <w:rPr>
          <w:rFonts w:ascii="宋体" w:hAnsi="宋体" w:eastAsia="宋体" w:cs="宋体"/>
          <w:strike/>
          <w:color w:val="202935"/>
          <w:spacing w:val="-3"/>
          <w:sz w:val="24"/>
          <w:szCs w:val="24"/>
        </w:rPr>
        <w:t>料内。</w:t>
      </w:r>
    </w:p>
    <w:p w14:paraId="699657F8">
      <w:pPr>
        <w:pStyle w:val="2"/>
        <w:spacing w:line="323" w:lineRule="exact"/>
        <w:ind w:left="8"/>
        <w:rPr>
          <w:rFonts w:ascii="宋体" w:hAnsi="宋体" w:eastAsia="宋体" w:cs="宋体"/>
          <w:sz w:val="24"/>
          <w:szCs w:val="24"/>
        </w:rPr>
      </w:pPr>
      <w:r>
        <w:rPr>
          <w:rFonts w:ascii="宋体" w:hAnsi="宋体" w:eastAsia="宋体" w:cs="宋体"/>
          <w:strike/>
          <w:color w:val="202935"/>
          <w:spacing w:val="-3"/>
          <w:position w:val="1"/>
          <w:sz w:val="24"/>
          <w:szCs w:val="24"/>
        </w:rPr>
        <w:t xml:space="preserve">表 </w:t>
      </w:r>
      <w:r>
        <w:rPr>
          <w:strike/>
          <w:color w:val="202935"/>
          <w:spacing w:val="-3"/>
          <w:position w:val="1"/>
          <w:sz w:val="24"/>
          <w:szCs w:val="24"/>
        </w:rPr>
        <w:t>4.0.7</w:t>
      </w:r>
      <w:r>
        <w:rPr>
          <w:strike/>
          <w:color w:val="202935"/>
          <w:spacing w:val="20"/>
          <w:w w:val="101"/>
          <w:position w:val="1"/>
          <w:sz w:val="24"/>
          <w:szCs w:val="24"/>
        </w:rPr>
        <w:t xml:space="preserve">   </w:t>
      </w:r>
      <w:r>
        <w:rPr>
          <w:rFonts w:ascii="宋体" w:hAnsi="宋体" w:eastAsia="宋体" w:cs="宋体"/>
          <w:strike/>
          <w:color w:val="202935"/>
          <w:spacing w:val="-3"/>
          <w:position w:val="1"/>
          <w:sz w:val="24"/>
          <w:szCs w:val="24"/>
        </w:rPr>
        <w:t>抹面胶浆拉伸粘结强度（</w:t>
      </w:r>
      <w:r>
        <w:rPr>
          <w:strike/>
          <w:color w:val="202935"/>
          <w:spacing w:val="-3"/>
          <w:position w:val="1"/>
          <w:sz w:val="24"/>
          <w:szCs w:val="24"/>
        </w:rPr>
        <w:t>MPa</w:t>
      </w:r>
      <w:r>
        <w:rPr>
          <w:strike/>
          <w:color w:val="202935"/>
          <w:spacing w:val="-33"/>
          <w:position w:val="1"/>
          <w:sz w:val="24"/>
          <w:szCs w:val="24"/>
        </w:rPr>
        <w:t xml:space="preserve"> </w:t>
      </w:r>
      <w:r>
        <w:rPr>
          <w:rFonts w:ascii="宋体" w:hAnsi="宋体" w:eastAsia="宋体" w:cs="宋体"/>
          <w:strike/>
          <w:color w:val="202935"/>
          <w:spacing w:val="-3"/>
          <w:position w:val="1"/>
          <w:sz w:val="24"/>
          <w:szCs w:val="24"/>
        </w:rPr>
        <w:t>）</w:t>
      </w:r>
      <w:r>
        <w:rPr>
          <w:rFonts w:ascii="宋体" w:hAnsi="宋体" w:eastAsia="宋体" w:cs="宋体"/>
          <w:strike/>
          <w:color w:val="202935"/>
          <w:position w:val="1"/>
          <w:sz w:val="24"/>
          <w:szCs w:val="24"/>
        </w:rPr>
        <w:t xml:space="preserve"> </w:t>
      </w:r>
    </w:p>
    <w:tbl>
      <w:tblPr>
        <w:tblStyle w:val="5"/>
        <w:tblW w:w="90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96"/>
        <w:gridCol w:w="3326"/>
        <w:gridCol w:w="1791"/>
        <w:gridCol w:w="2154"/>
      </w:tblGrid>
      <w:tr w14:paraId="3E961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5122" w:type="dxa"/>
            <w:gridSpan w:val="2"/>
            <w:vAlign w:val="top"/>
          </w:tcPr>
          <w:p w14:paraId="38C26ABE">
            <w:pPr>
              <w:spacing w:line="60" w:lineRule="exact"/>
              <w:ind w:firstLine="4"/>
            </w:pPr>
            <w:r>
              <w:rPr>
                <w:position w:val="-1"/>
              </w:rPr>
              <w:pict>
                <v:shape id="_x0000_s1075" o:spid="_x0000_s1075" style="height:3pt;width:255.55pt;" fillcolor="#FFFFFF" filled="t" stroked="f" coordsize="5111,60" path="m0,59l5110,59,5110,0,0,0,0,59xe">
                  <v:fill on="t" focussize="0,0"/>
                  <v:stroke on="f"/>
                  <v:imagedata o:title=""/>
                  <o:lock v:ext="edit"/>
                  <w10:wrap type="none"/>
                  <w10:anchorlock/>
                </v:shape>
              </w:pict>
            </w:r>
          </w:p>
          <w:p w14:paraId="13E29B72">
            <w:pPr>
              <w:pStyle w:val="6"/>
              <w:spacing w:before="35" w:line="212" w:lineRule="auto"/>
              <w:ind w:left="2088"/>
              <w:rPr>
                <w:sz w:val="24"/>
                <w:szCs w:val="24"/>
              </w:rPr>
            </w:pPr>
            <w:r>
              <w:rPr>
                <w:strike/>
                <w:color w:val="202935"/>
                <w:spacing w:val="-2"/>
                <w:sz w:val="24"/>
                <w:szCs w:val="24"/>
              </w:rPr>
              <w:t>检验项目</w:t>
            </w:r>
          </w:p>
          <w:p w14:paraId="42158D39">
            <w:pPr>
              <w:spacing w:line="57" w:lineRule="exact"/>
            </w:pPr>
            <w:r>
              <w:rPr>
                <w:position w:val="-1"/>
              </w:rPr>
              <w:pict>
                <v:shape id="_x0000_s1076" o:spid="_x0000_s1076" style="height:3pt;width:256.05pt;" fillcolor="#FFFFFF" filled="t" stroked="f" coordsize="5120,60" path="m0,59l5120,59,5120,0,0,0,0,59xe">
                  <v:fill on="t" focussize="0,0"/>
                  <v:stroke on="f"/>
                  <v:imagedata o:title=""/>
                  <o:lock v:ext="edit"/>
                  <w10:wrap type="none"/>
                  <w10:anchorlock/>
                </v:shape>
              </w:pict>
            </w:r>
          </w:p>
        </w:tc>
        <w:tc>
          <w:tcPr>
            <w:tcW w:w="1791" w:type="dxa"/>
            <w:vAlign w:val="top"/>
          </w:tcPr>
          <w:p w14:paraId="5FAF22DE">
            <w:pPr>
              <w:spacing w:line="60" w:lineRule="exact"/>
              <w:ind w:firstLine="2"/>
            </w:pPr>
            <w:r>
              <w:rPr>
                <w:position w:val="-1"/>
              </w:rPr>
              <w:pict>
                <v:shape id="_x0000_s1077" o:spid="_x0000_s1077" style="height:3pt;width:89.15pt;" fillcolor="#FFFFFF" filled="t" stroked="f" coordsize="1783,60" path="m0,59l1782,59,1782,0,0,0,0,59xe">
                  <v:fill on="t" focussize="0,0"/>
                  <v:stroke on="f"/>
                  <v:imagedata o:title=""/>
                  <o:lock v:ext="edit"/>
                  <w10:wrap type="none"/>
                  <w10:anchorlock/>
                </v:shape>
              </w:pict>
            </w:r>
          </w:p>
          <w:p w14:paraId="613B3AD9">
            <w:pPr>
              <w:pStyle w:val="6"/>
              <w:spacing w:before="35" w:line="212" w:lineRule="auto"/>
              <w:ind w:left="427"/>
              <w:rPr>
                <w:sz w:val="24"/>
                <w:szCs w:val="24"/>
              </w:rPr>
            </w:pPr>
            <w:r>
              <w:rPr>
                <w:strike/>
                <w:color w:val="202935"/>
                <w:spacing w:val="-3"/>
                <w:sz w:val="24"/>
                <w:szCs w:val="24"/>
              </w:rPr>
              <w:t>与保温板</w:t>
            </w:r>
          </w:p>
          <w:p w14:paraId="40F64D32">
            <w:pPr>
              <w:spacing w:line="57" w:lineRule="exact"/>
            </w:pPr>
            <w:r>
              <w:rPr>
                <w:position w:val="-1"/>
              </w:rPr>
              <w:pict>
                <v:shape id="_x0000_s1078" o:spid="_x0000_s1078" style="height:3pt;width:89.6pt;" fillcolor="#FFFFFF" filled="t" stroked="f" coordsize="1791,60" path="m0,59l1791,59,1791,0,0,0,0,59xe">
                  <v:fill on="t" focussize="0,0"/>
                  <v:stroke on="f"/>
                  <v:imagedata o:title=""/>
                  <o:lock v:ext="edit"/>
                  <w10:wrap type="none"/>
                  <w10:anchorlock/>
                </v:shape>
              </w:pict>
            </w:r>
          </w:p>
        </w:tc>
        <w:tc>
          <w:tcPr>
            <w:tcW w:w="2154" w:type="dxa"/>
            <w:vAlign w:val="top"/>
          </w:tcPr>
          <w:p w14:paraId="043797B1">
            <w:pPr>
              <w:spacing w:line="60" w:lineRule="exact"/>
              <w:ind w:firstLine="3"/>
            </w:pPr>
            <w:r>
              <w:rPr>
                <w:position w:val="-1"/>
              </w:rPr>
              <w:pict>
                <v:shape id="_x0000_s1079" o:spid="_x0000_s1079" style="height:3pt;width:107.05pt;" fillcolor="#FFFFFF" filled="t" stroked="f" coordsize="2141,60" path="m0,59l2140,59,2140,0,0,0,0,59xe">
                  <v:fill on="t" focussize="0,0"/>
                  <v:stroke on="f"/>
                  <v:imagedata o:title=""/>
                  <o:lock v:ext="edit"/>
                  <w10:wrap type="none"/>
                  <w10:anchorlock/>
                </v:shape>
              </w:pict>
            </w:r>
          </w:p>
          <w:p w14:paraId="32D62EE7">
            <w:pPr>
              <w:pStyle w:val="6"/>
              <w:spacing w:before="35" w:line="212" w:lineRule="auto"/>
              <w:ind w:left="488"/>
              <w:rPr>
                <w:sz w:val="24"/>
                <w:szCs w:val="24"/>
              </w:rPr>
            </w:pPr>
            <w:r>
              <w:rPr>
                <w:strike/>
                <w:color w:val="202935"/>
                <w:spacing w:val="-3"/>
                <w:sz w:val="24"/>
                <w:szCs w:val="24"/>
              </w:rPr>
              <w:t>与保温浆料</w:t>
            </w:r>
          </w:p>
          <w:p w14:paraId="40041DA7">
            <w:pPr>
              <w:spacing w:line="57" w:lineRule="exact"/>
            </w:pPr>
            <w:r>
              <w:rPr>
                <w:position w:val="-1"/>
              </w:rPr>
              <w:pict>
                <v:shape id="_x0000_s1080" o:spid="_x0000_s1080" style="height:3pt;width:107.55pt;" fillcolor="#FFFFFF" filled="t" stroked="f" coordsize="2151,60" path="m0,59l2150,59,2150,0,0,0,0,59xe">
                  <v:fill on="t" focussize="0,0"/>
                  <v:stroke on="f"/>
                  <v:imagedata o:title=""/>
                  <o:lock v:ext="edit"/>
                  <w10:wrap type="none"/>
                  <w10:anchorlock/>
                </v:shape>
              </w:pict>
            </w:r>
          </w:p>
        </w:tc>
      </w:tr>
      <w:tr w14:paraId="470D0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5122" w:type="dxa"/>
            <w:gridSpan w:val="2"/>
            <w:vAlign w:val="top"/>
          </w:tcPr>
          <w:p w14:paraId="52793359">
            <w:pPr>
              <w:spacing w:line="57" w:lineRule="exact"/>
              <w:ind w:firstLine="4"/>
            </w:pPr>
            <w:r>
              <w:rPr>
                <w:position w:val="-1"/>
              </w:rPr>
              <w:pict>
                <v:shape id="_x0000_s1081" o:spid="_x0000_s1081" style="height:3pt;width:255.55pt;" fillcolor="#FFFFFF" filled="t" stroked="f" coordsize="5111,60" path="m0,59l5110,59,5110,0,0,0,0,59xe">
                  <v:fill on="t" focussize="0,0"/>
                  <v:stroke on="f"/>
                  <v:imagedata o:title=""/>
                  <o:lock v:ext="edit"/>
                  <w10:wrap type="none"/>
                  <w10:anchorlock/>
                </v:shape>
              </w:pict>
            </w:r>
          </w:p>
          <w:p w14:paraId="4E128B59">
            <w:pPr>
              <w:pStyle w:val="6"/>
              <w:spacing w:before="35" w:line="212" w:lineRule="auto"/>
              <w:ind w:left="2214"/>
              <w:rPr>
                <w:sz w:val="24"/>
                <w:szCs w:val="24"/>
              </w:rPr>
            </w:pPr>
            <w:r>
              <w:rPr>
                <w:strike/>
                <w:color w:val="202935"/>
                <w:spacing w:val="-4"/>
                <w:sz w:val="24"/>
                <w:szCs w:val="24"/>
              </w:rPr>
              <w:t>原强度</w:t>
            </w:r>
          </w:p>
          <w:p w14:paraId="624F8484">
            <w:pPr>
              <w:spacing w:line="55" w:lineRule="exact"/>
            </w:pPr>
            <w:r>
              <w:rPr>
                <w:position w:val="-1"/>
              </w:rPr>
              <w:pict>
                <v:shape id="_x0000_s1082" o:spid="_x0000_s1082" style="height:3pt;width:256.05pt;" fillcolor="#FFFFFF" filled="t" stroked="f" coordsize="5120,60" path="m0,59l5120,59,5120,0,0,0,0,59xe">
                  <v:fill on="t" focussize="0,0"/>
                  <v:stroke on="f"/>
                  <v:imagedata o:title=""/>
                  <o:lock v:ext="edit"/>
                  <w10:wrap type="none"/>
                  <w10:anchorlock/>
                </v:shape>
              </w:pict>
            </w:r>
          </w:p>
        </w:tc>
        <w:tc>
          <w:tcPr>
            <w:tcW w:w="1791" w:type="dxa"/>
            <w:vAlign w:val="top"/>
          </w:tcPr>
          <w:p w14:paraId="0B9FE577">
            <w:pPr>
              <w:spacing w:line="54" w:lineRule="exact"/>
              <w:ind w:firstLine="2"/>
            </w:pPr>
            <w:r>
              <w:rPr>
                <w:position w:val="-1"/>
              </w:rPr>
              <w:pict>
                <v:shape id="_x0000_s1083" o:spid="_x0000_s1083" style="height:3pt;width:89.15pt;" fillcolor="#FFFFFF" filled="t" stroked="f" coordsize="1783,60" path="m0,59l1782,59,1782,0,0,0,0,59xe">
                  <v:fill on="t" focussize="0,0"/>
                  <v:stroke on="f"/>
                  <v:imagedata o:title=""/>
                  <o:lock v:ext="edit"/>
                  <w10:wrap type="none"/>
                  <w10:anchorlock/>
                </v:shape>
              </w:pict>
            </w:r>
          </w:p>
          <w:p w14:paraId="51C5A666">
            <w:pPr>
              <w:spacing w:line="324" w:lineRule="exact"/>
              <w:ind w:left="603"/>
              <w:rPr>
                <w:rFonts w:ascii="Arial" w:hAnsi="Arial" w:eastAsia="Arial" w:cs="Arial"/>
                <w:sz w:val="24"/>
                <w:szCs w:val="24"/>
              </w:rPr>
            </w:pPr>
            <w:r>
              <w:pict>
                <v:shape id="_x0000_s1084" o:spid="_x0000_s1084" style="position:absolute;left:0pt;margin-left:-0.05pt;margin-top:15.7pt;height:3pt;width:89.6pt;z-index:251678720;mso-width-relative:page;mso-height-relative:page;" fillcolor="#FFFFFF" filled="t" stroked="f" coordsize="1791,60" path="m0,59l1791,59,1791,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10</w:t>
            </w:r>
          </w:p>
        </w:tc>
        <w:tc>
          <w:tcPr>
            <w:tcW w:w="2154" w:type="dxa"/>
            <w:vAlign w:val="top"/>
          </w:tcPr>
          <w:p w14:paraId="6A21AB99">
            <w:pPr>
              <w:spacing w:line="54" w:lineRule="exact"/>
              <w:ind w:firstLine="3"/>
            </w:pPr>
            <w:r>
              <w:rPr>
                <w:position w:val="-1"/>
              </w:rPr>
              <w:pict>
                <v:shape id="_x0000_s1085" o:spid="_x0000_s1085" style="height:3pt;width:107.05pt;" fillcolor="#FFFFFF" filled="t" stroked="f" coordsize="2141,60" path="m0,59l2140,59,2140,0,0,0,0,59xe">
                  <v:fill on="t" focussize="0,0"/>
                  <v:stroke on="f"/>
                  <v:imagedata o:title=""/>
                  <o:lock v:ext="edit"/>
                  <w10:wrap type="none"/>
                  <w10:anchorlock/>
                </v:shape>
              </w:pict>
            </w:r>
          </w:p>
          <w:p w14:paraId="041DFC34">
            <w:pPr>
              <w:spacing w:line="324" w:lineRule="exact"/>
              <w:ind w:left="783"/>
              <w:rPr>
                <w:rFonts w:ascii="Arial" w:hAnsi="Arial" w:eastAsia="Arial" w:cs="Arial"/>
                <w:sz w:val="24"/>
                <w:szCs w:val="24"/>
              </w:rPr>
            </w:pPr>
            <w:r>
              <w:pict>
                <v:shape id="_x0000_s1086" o:spid="_x0000_s1086" style="position:absolute;left:0pt;margin-left:-0.05pt;margin-top:15.7pt;height:3pt;width:107.55pt;z-index:251677696;mso-width-relative:page;mso-height-relative:page;" fillcolor="#FFFFFF" filled="t" stroked="f" coordsize="2151,60" path="m0,59l2150,59,2150,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06</w:t>
            </w:r>
          </w:p>
        </w:tc>
      </w:tr>
      <w:tr w14:paraId="0734D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1796" w:type="dxa"/>
            <w:vMerge w:val="restart"/>
            <w:tcBorders>
              <w:bottom w:val="nil"/>
            </w:tcBorders>
            <w:vAlign w:val="top"/>
          </w:tcPr>
          <w:p w14:paraId="514B80E8">
            <w:pPr>
              <w:spacing w:line="59" w:lineRule="exact"/>
              <w:ind w:firstLine="4"/>
            </w:pPr>
            <w:r>
              <w:rPr>
                <w:position w:val="-1"/>
              </w:rPr>
              <w:pict>
                <v:shape id="_x0000_s1087" o:spid="_x0000_s1087" style="height:3pt;width:89.2pt;" fillcolor="#FFFFFF" filled="t" stroked="f" coordsize="1783,60" path="m0,59l1783,59,1783,0,0,0,0,59xe">
                  <v:fill on="t" focussize="0,0"/>
                  <v:stroke on="f"/>
                  <v:imagedata o:title=""/>
                  <o:lock v:ext="edit"/>
                  <w10:wrap type="none"/>
                  <w10:anchorlock/>
                </v:shape>
              </w:pict>
            </w:r>
          </w:p>
          <w:p w14:paraId="5C517552">
            <w:pPr>
              <w:spacing w:line="397" w:lineRule="auto"/>
              <w:rPr>
                <w:rFonts w:ascii="Arial"/>
                <w:sz w:val="21"/>
              </w:rPr>
            </w:pPr>
          </w:p>
          <w:p w14:paraId="47B3021F">
            <w:pPr>
              <w:pStyle w:val="6"/>
              <w:spacing w:before="78" w:line="212" w:lineRule="auto"/>
              <w:ind w:left="427"/>
              <w:rPr>
                <w:sz w:val="24"/>
                <w:szCs w:val="24"/>
              </w:rPr>
            </w:pPr>
            <w:r>
              <w:rPr>
                <w:strike/>
                <w:color w:val="202935"/>
                <w:spacing w:val="-3"/>
                <w:sz w:val="24"/>
                <w:szCs w:val="24"/>
              </w:rPr>
              <w:t>耐水强度</w:t>
            </w:r>
          </w:p>
          <w:p w14:paraId="4F78471B">
            <w:pPr>
              <w:spacing w:line="51" w:lineRule="exact"/>
              <w:ind w:firstLine="4"/>
            </w:pPr>
            <w:r>
              <w:rPr>
                <w:position w:val="-1"/>
              </w:rPr>
              <w:pict>
                <v:shape id="_x0000_s1088" o:spid="_x0000_s1088" style="height:3pt;width:89.2pt;" fillcolor="#000000" filled="t" stroked="f" coordsize="1783,60" path="m0,59l1783,59,1783,0,0,0,0,59xe">
                  <v:fill on="t" focussize="0,0"/>
                  <v:stroke on="f"/>
                  <v:imagedata o:title=""/>
                  <o:lock v:ext="edit"/>
                  <w10:wrap type="none"/>
                  <w10:anchorlock/>
                </v:shape>
              </w:pict>
            </w:r>
          </w:p>
        </w:tc>
        <w:tc>
          <w:tcPr>
            <w:tcW w:w="3326" w:type="dxa"/>
            <w:vAlign w:val="top"/>
          </w:tcPr>
          <w:p w14:paraId="6D1B5152">
            <w:pPr>
              <w:spacing w:line="56" w:lineRule="exact"/>
              <w:ind w:firstLine="1"/>
            </w:pPr>
            <w:r>
              <w:rPr>
                <w:position w:val="-1"/>
              </w:rPr>
              <w:pict>
                <v:shape id="_x0000_s1089" o:spid="_x0000_s1089" style="height:3pt;width:165.95pt;" fillcolor="#FFFFFF" filled="t" stroked="f" coordsize="3318,60" path="m0,59l3318,59,3318,0,0,0,0,59xe">
                  <v:fill on="t" focussize="0,0"/>
                  <v:stroke on="f"/>
                  <v:imagedata o:title=""/>
                  <o:lock v:ext="edit"/>
                  <w10:wrap type="none"/>
                  <w10:anchorlock/>
                </v:shape>
              </w:pict>
            </w:r>
          </w:p>
          <w:p w14:paraId="3D8248F1">
            <w:pPr>
              <w:pStyle w:val="6"/>
              <w:spacing w:line="319" w:lineRule="exact"/>
              <w:ind w:left="674"/>
              <w:rPr>
                <w:rFonts w:ascii="Arial" w:hAnsi="Arial" w:eastAsia="Arial" w:cs="Arial"/>
                <w:sz w:val="24"/>
                <w:szCs w:val="24"/>
              </w:rPr>
            </w:pPr>
            <w:r>
              <w:rPr>
                <w:strike/>
                <w:color w:val="202935"/>
                <w:spacing w:val="-5"/>
                <w:position w:val="1"/>
                <w:sz w:val="24"/>
                <w:szCs w:val="24"/>
              </w:rPr>
              <w:t>浸水</w:t>
            </w:r>
            <w:r>
              <w:rPr>
                <w:strike/>
                <w:color w:val="202935"/>
                <w:spacing w:val="-53"/>
                <w:position w:val="1"/>
                <w:sz w:val="24"/>
                <w:szCs w:val="24"/>
              </w:rPr>
              <w:t xml:space="preserve"> </w:t>
            </w:r>
            <w:r>
              <w:rPr>
                <w:rFonts w:ascii="Arial" w:hAnsi="Arial" w:eastAsia="Arial" w:cs="Arial"/>
                <w:strike/>
                <w:color w:val="202935"/>
                <w:spacing w:val="-5"/>
                <w:position w:val="1"/>
                <w:sz w:val="24"/>
                <w:szCs w:val="24"/>
              </w:rPr>
              <w:t>48h</w:t>
            </w:r>
            <w:r>
              <w:rPr>
                <w:rFonts w:ascii="Arial" w:hAnsi="Arial" w:eastAsia="Arial" w:cs="Arial"/>
                <w:strike/>
                <w:color w:val="202935"/>
                <w:spacing w:val="-38"/>
                <w:position w:val="1"/>
                <w:sz w:val="24"/>
                <w:szCs w:val="24"/>
              </w:rPr>
              <w:t xml:space="preserve"> </w:t>
            </w:r>
            <w:r>
              <w:rPr>
                <w:strike/>
                <w:color w:val="202935"/>
                <w:spacing w:val="-5"/>
                <w:position w:val="1"/>
                <w:sz w:val="24"/>
                <w:szCs w:val="24"/>
              </w:rPr>
              <w:t>，干燥</w:t>
            </w:r>
            <w:r>
              <w:rPr>
                <w:strike/>
                <w:color w:val="202935"/>
                <w:spacing w:val="-53"/>
                <w:position w:val="1"/>
                <w:sz w:val="24"/>
                <w:szCs w:val="24"/>
              </w:rPr>
              <w:t xml:space="preserve"> </w:t>
            </w:r>
            <w:r>
              <w:rPr>
                <w:rFonts w:ascii="Arial" w:hAnsi="Arial" w:eastAsia="Arial" w:cs="Arial"/>
                <w:strike/>
                <w:color w:val="202935"/>
                <w:spacing w:val="-5"/>
                <w:position w:val="1"/>
                <w:sz w:val="24"/>
                <w:szCs w:val="24"/>
              </w:rPr>
              <w:t>2h</w:t>
            </w:r>
          </w:p>
          <w:p w14:paraId="4CE23441">
            <w:pPr>
              <w:spacing w:line="49" w:lineRule="exact"/>
            </w:pPr>
            <w:r>
              <w:rPr>
                <w:position w:val="-1"/>
              </w:rPr>
              <w:pict>
                <v:shape id="_x0000_s1090" o:spid="_x0000_s1090" style="height:3pt;width:166.4pt;" fillcolor="#FFFFFF" filled="t" stroked="f" coordsize="3327,60" path="m0,59l3327,59,3327,0,0,0,0,59xe">
                  <v:fill on="t" focussize="0,0"/>
                  <v:stroke on="f"/>
                  <v:imagedata o:title=""/>
                  <o:lock v:ext="edit"/>
                  <w10:wrap type="none"/>
                  <w10:anchorlock/>
                </v:shape>
              </w:pict>
            </w:r>
          </w:p>
        </w:tc>
        <w:tc>
          <w:tcPr>
            <w:tcW w:w="1791" w:type="dxa"/>
            <w:vAlign w:val="top"/>
          </w:tcPr>
          <w:p w14:paraId="2EC20AAC">
            <w:pPr>
              <w:spacing w:line="56" w:lineRule="exact"/>
              <w:ind w:firstLine="2"/>
            </w:pPr>
            <w:r>
              <w:rPr>
                <w:position w:val="-1"/>
              </w:rPr>
              <w:pict>
                <v:shape id="_x0000_s1091" o:spid="_x0000_s1091" style="height:3pt;width:89.15pt;" fillcolor="#FFFFFF" filled="t" stroked="f" coordsize="1783,60" path="m0,59l1782,59,1782,0,0,0,0,59xe">
                  <v:fill on="t" focussize="0,0"/>
                  <v:stroke on="f"/>
                  <v:imagedata o:title=""/>
                  <o:lock v:ext="edit"/>
                  <w10:wrap type="none"/>
                  <w10:anchorlock/>
                </v:shape>
              </w:pict>
            </w:r>
          </w:p>
          <w:p w14:paraId="6A347133">
            <w:pPr>
              <w:spacing w:line="324" w:lineRule="exact"/>
              <w:ind w:left="603"/>
              <w:rPr>
                <w:rFonts w:ascii="Arial" w:hAnsi="Arial" w:eastAsia="Arial" w:cs="Arial"/>
                <w:sz w:val="24"/>
                <w:szCs w:val="24"/>
              </w:rPr>
            </w:pPr>
            <w:r>
              <w:pict>
                <v:shape id="_x0000_s1092" o:spid="_x0000_s1092" style="position:absolute;left:0pt;margin-left:-0.05pt;margin-top:15.75pt;height:3pt;width:89.6pt;z-index:251674624;mso-width-relative:page;mso-height-relative:page;" fillcolor="#FFFFFF" filled="t" stroked="f" coordsize="1791,60" path="m0,59l1791,59,1791,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06</w:t>
            </w:r>
          </w:p>
        </w:tc>
        <w:tc>
          <w:tcPr>
            <w:tcW w:w="2154" w:type="dxa"/>
            <w:vAlign w:val="top"/>
          </w:tcPr>
          <w:p w14:paraId="756DC5B4">
            <w:pPr>
              <w:spacing w:line="56" w:lineRule="exact"/>
              <w:ind w:firstLine="3"/>
            </w:pPr>
            <w:r>
              <w:rPr>
                <w:position w:val="-1"/>
              </w:rPr>
              <w:pict>
                <v:shape id="_x0000_s1093" o:spid="_x0000_s1093" style="height:3pt;width:107.05pt;" fillcolor="#FFFFFF" filled="t" stroked="f" coordsize="2141,60" path="m0,59l2140,59,2140,0,0,0,0,59xe">
                  <v:fill on="t" focussize="0,0"/>
                  <v:stroke on="f"/>
                  <v:imagedata o:title=""/>
                  <o:lock v:ext="edit"/>
                  <w10:wrap type="none"/>
                  <w10:anchorlock/>
                </v:shape>
              </w:pict>
            </w:r>
          </w:p>
          <w:p w14:paraId="65486977">
            <w:pPr>
              <w:spacing w:line="324" w:lineRule="exact"/>
              <w:ind w:left="783"/>
              <w:rPr>
                <w:rFonts w:ascii="Arial" w:hAnsi="Arial" w:eastAsia="Arial" w:cs="Arial"/>
                <w:sz w:val="24"/>
                <w:szCs w:val="24"/>
              </w:rPr>
            </w:pPr>
            <w:r>
              <w:pict>
                <v:shape id="_x0000_s1094" o:spid="_x0000_s1094" style="position:absolute;left:0pt;margin-left:-0.05pt;margin-top:15.75pt;height:3pt;width:107.55pt;z-index:251675648;mso-width-relative:page;mso-height-relative:page;" fillcolor="#FFFFFF" filled="t" stroked="f" coordsize="2151,60" path="m0,59l2150,59,2150,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03</w:t>
            </w:r>
          </w:p>
        </w:tc>
      </w:tr>
      <w:tr w14:paraId="26955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1796" w:type="dxa"/>
            <w:vMerge w:val="continue"/>
            <w:tcBorders>
              <w:top w:val="nil"/>
            </w:tcBorders>
            <w:vAlign w:val="top"/>
          </w:tcPr>
          <w:p w14:paraId="5259976C">
            <w:pPr>
              <w:rPr>
                <w:rFonts w:ascii="Arial"/>
                <w:sz w:val="21"/>
              </w:rPr>
            </w:pPr>
          </w:p>
        </w:tc>
        <w:tc>
          <w:tcPr>
            <w:tcW w:w="3326" w:type="dxa"/>
            <w:vAlign w:val="top"/>
          </w:tcPr>
          <w:p w14:paraId="029DCC3F">
            <w:pPr>
              <w:spacing w:before="1" w:line="56" w:lineRule="exact"/>
              <w:ind w:firstLine="1"/>
            </w:pPr>
            <w:r>
              <w:rPr>
                <w:position w:val="-1"/>
              </w:rPr>
              <w:pict>
                <v:shape id="_x0000_s1095" o:spid="_x0000_s1095" style="height:3pt;width:165.95pt;" fillcolor="#FFFFFF" filled="t" stroked="f" coordsize="3318,60" path="m0,59l3318,59,3318,0,0,0,0,59xe">
                  <v:fill on="t" focussize="0,0"/>
                  <v:stroke on="f"/>
                  <v:imagedata o:title=""/>
                  <o:lock v:ext="edit"/>
                  <w10:wrap type="none"/>
                  <w10:anchorlock/>
                </v:shape>
              </w:pict>
            </w:r>
          </w:p>
          <w:p w14:paraId="38A7F1F6">
            <w:pPr>
              <w:pStyle w:val="6"/>
              <w:spacing w:line="319" w:lineRule="exact"/>
              <w:ind w:left="674"/>
              <w:rPr>
                <w:rFonts w:ascii="Arial" w:hAnsi="Arial" w:eastAsia="Arial" w:cs="Arial"/>
                <w:sz w:val="24"/>
                <w:szCs w:val="24"/>
              </w:rPr>
            </w:pPr>
            <w:r>
              <w:rPr>
                <w:strike/>
                <w:color w:val="202935"/>
                <w:spacing w:val="-5"/>
                <w:position w:val="1"/>
                <w:sz w:val="24"/>
                <w:szCs w:val="24"/>
              </w:rPr>
              <w:t>浸水</w:t>
            </w:r>
            <w:r>
              <w:rPr>
                <w:strike/>
                <w:color w:val="202935"/>
                <w:spacing w:val="-55"/>
                <w:position w:val="1"/>
                <w:sz w:val="24"/>
                <w:szCs w:val="24"/>
              </w:rPr>
              <w:t xml:space="preserve"> </w:t>
            </w:r>
            <w:r>
              <w:rPr>
                <w:rFonts w:ascii="Arial" w:hAnsi="Arial" w:eastAsia="Arial" w:cs="Arial"/>
                <w:strike/>
                <w:color w:val="202935"/>
                <w:spacing w:val="-5"/>
                <w:position w:val="1"/>
                <w:sz w:val="24"/>
                <w:szCs w:val="24"/>
              </w:rPr>
              <w:t>48h</w:t>
            </w:r>
            <w:r>
              <w:rPr>
                <w:rFonts w:ascii="Arial" w:hAnsi="Arial" w:eastAsia="Arial" w:cs="Arial"/>
                <w:strike/>
                <w:color w:val="202935"/>
                <w:spacing w:val="-38"/>
                <w:position w:val="1"/>
                <w:sz w:val="24"/>
                <w:szCs w:val="24"/>
              </w:rPr>
              <w:t xml:space="preserve"> </w:t>
            </w:r>
            <w:r>
              <w:rPr>
                <w:strike/>
                <w:color w:val="202935"/>
                <w:spacing w:val="-5"/>
                <w:position w:val="1"/>
                <w:sz w:val="24"/>
                <w:szCs w:val="24"/>
              </w:rPr>
              <w:t>，干燥</w:t>
            </w:r>
            <w:r>
              <w:rPr>
                <w:strike/>
                <w:color w:val="202935"/>
                <w:spacing w:val="-49"/>
                <w:position w:val="1"/>
                <w:sz w:val="24"/>
                <w:szCs w:val="24"/>
              </w:rPr>
              <w:t xml:space="preserve"> </w:t>
            </w:r>
            <w:r>
              <w:rPr>
                <w:rFonts w:ascii="Arial" w:hAnsi="Arial" w:eastAsia="Arial" w:cs="Arial"/>
                <w:strike/>
                <w:color w:val="202935"/>
                <w:spacing w:val="-5"/>
                <w:position w:val="1"/>
                <w:sz w:val="24"/>
                <w:szCs w:val="24"/>
              </w:rPr>
              <w:t>7d</w:t>
            </w:r>
          </w:p>
          <w:p w14:paraId="7F17F916">
            <w:pPr>
              <w:spacing w:line="47" w:lineRule="exact"/>
            </w:pPr>
            <w:r>
              <w:rPr>
                <w:position w:val="-1"/>
              </w:rPr>
              <w:pict>
                <v:shape id="_x0000_s1096" o:spid="_x0000_s1096" style="height:3pt;width:166.4pt;" fillcolor="#FFFFFF" filled="t" stroked="f" coordsize="3327,60" path="m0,59l3327,59,3327,0,0,0,0,59xe">
                  <v:fill on="t" focussize="0,0"/>
                  <v:stroke on="f"/>
                  <v:imagedata o:title=""/>
                  <o:lock v:ext="edit"/>
                  <w10:wrap type="none"/>
                  <w10:anchorlock/>
                </v:shape>
              </w:pict>
            </w:r>
          </w:p>
        </w:tc>
        <w:tc>
          <w:tcPr>
            <w:tcW w:w="1791" w:type="dxa"/>
            <w:vAlign w:val="top"/>
          </w:tcPr>
          <w:p w14:paraId="58BAE736">
            <w:pPr>
              <w:spacing w:before="1" w:line="57" w:lineRule="exact"/>
              <w:ind w:firstLine="2"/>
            </w:pPr>
            <w:r>
              <w:rPr>
                <w:position w:val="-1"/>
              </w:rPr>
              <w:pict>
                <v:shape id="_x0000_s1097" o:spid="_x0000_s1097" style="height:3pt;width:89.15pt;" fillcolor="#FFFFFF" filled="t" stroked="f" coordsize="1783,60" path="m0,59l1782,59,1782,0,0,0,0,59xe">
                  <v:fill on="t" focussize="0,0"/>
                  <v:stroke on="f"/>
                  <v:imagedata o:title=""/>
                  <o:lock v:ext="edit"/>
                  <w10:wrap type="none"/>
                  <w10:anchorlock/>
                </v:shape>
              </w:pict>
            </w:r>
          </w:p>
          <w:p w14:paraId="7948098C">
            <w:pPr>
              <w:spacing w:line="324" w:lineRule="exact"/>
              <w:ind w:left="603"/>
              <w:rPr>
                <w:rFonts w:ascii="Arial" w:hAnsi="Arial" w:eastAsia="Arial" w:cs="Arial"/>
                <w:sz w:val="24"/>
                <w:szCs w:val="24"/>
              </w:rPr>
            </w:pPr>
            <w:r>
              <w:pict>
                <v:shape id="_x0000_s1098" o:spid="_x0000_s1098" style="position:absolute;left:0pt;margin-left:-0.05pt;margin-top:15.7pt;height:3pt;width:89.6pt;z-index:251676672;mso-width-relative:page;mso-height-relative:page;" fillcolor="#FFFFFF" filled="t" stroked="f" coordsize="1791,60" path="m0,59l1791,59,1791,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10</w:t>
            </w:r>
          </w:p>
        </w:tc>
        <w:tc>
          <w:tcPr>
            <w:tcW w:w="2154" w:type="dxa"/>
            <w:vAlign w:val="top"/>
          </w:tcPr>
          <w:p w14:paraId="344190E0">
            <w:pPr>
              <w:spacing w:before="1" w:line="57" w:lineRule="exact"/>
              <w:ind w:firstLine="3"/>
            </w:pPr>
            <w:r>
              <w:rPr>
                <w:position w:val="-1"/>
              </w:rPr>
              <w:pict>
                <v:shape id="_x0000_s1099" o:spid="_x0000_s1099" style="height:3pt;width:107.05pt;" fillcolor="#FFFFFF" filled="t" stroked="f" coordsize="2141,60" path="m0,59l2140,59,2140,0,0,0,0,59xe">
                  <v:fill on="t" focussize="0,0"/>
                  <v:stroke on="f"/>
                  <v:imagedata o:title=""/>
                  <o:lock v:ext="edit"/>
                  <w10:wrap type="none"/>
                  <w10:anchorlock/>
                </v:shape>
              </w:pict>
            </w:r>
          </w:p>
          <w:p w14:paraId="18396609">
            <w:pPr>
              <w:spacing w:line="324" w:lineRule="exact"/>
              <w:ind w:left="783"/>
              <w:rPr>
                <w:rFonts w:ascii="Arial" w:hAnsi="Arial" w:eastAsia="Arial" w:cs="Arial"/>
                <w:sz w:val="24"/>
                <w:szCs w:val="24"/>
              </w:rPr>
            </w:pPr>
            <w:r>
              <w:pict>
                <v:shape id="_x0000_s1100" o:spid="_x0000_s1100" style="position:absolute;left:0pt;margin-left:-0.05pt;margin-top:15.7pt;height:3pt;width:107.55pt;z-index:251673600;mso-width-relative:page;mso-height-relative:page;" fillcolor="#FFFFFF" filled="t" stroked="f" coordsize="2151,60" path="m0,59l2150,59,2150,0,0,0,0,59xe">
                  <v:fill on="t" focussize="0,0"/>
                  <v:stroke on="f"/>
                  <v:imagedata o:title=""/>
                  <o:lock v:ext="edit"/>
                </v:shape>
              </w:pict>
            </w: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06</w:t>
            </w:r>
          </w:p>
        </w:tc>
      </w:tr>
      <w:tr w14:paraId="53502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5122" w:type="dxa"/>
            <w:gridSpan w:val="2"/>
            <w:vAlign w:val="top"/>
          </w:tcPr>
          <w:p w14:paraId="67A5CAC6">
            <w:pPr>
              <w:spacing w:before="3" w:line="60" w:lineRule="exact"/>
              <w:ind w:firstLine="4"/>
            </w:pPr>
            <w:r>
              <w:rPr>
                <w:position w:val="-1"/>
              </w:rPr>
              <w:pict>
                <v:shape id="_x0000_s1101" o:spid="_x0000_s1101" style="height:3pt;width:255.55pt;" fillcolor="#FFFFFF" filled="t" stroked="f" coordsize="5111,60" path="m0,59l1783,59,1783,0,0,0,0,59xem1792,59l5110,59,5110,0,1792,0,1792,59xe">
                  <v:fill on="t" focussize="0,0"/>
                  <v:stroke on="f"/>
                  <v:imagedata o:title=""/>
                  <o:lock v:ext="edit"/>
                  <w10:wrap type="none"/>
                  <w10:anchorlock/>
                </v:shape>
              </w:pict>
            </w:r>
          </w:p>
          <w:p w14:paraId="1F1C4807">
            <w:pPr>
              <w:pStyle w:val="6"/>
              <w:spacing w:before="35" w:line="213" w:lineRule="auto"/>
              <w:ind w:left="1971"/>
              <w:rPr>
                <w:sz w:val="24"/>
                <w:szCs w:val="24"/>
              </w:rPr>
            </w:pPr>
            <w:r>
              <w:rPr>
                <w:strike/>
                <w:color w:val="202935"/>
                <w:spacing w:val="-2"/>
                <w:sz w:val="24"/>
                <w:szCs w:val="24"/>
              </w:rPr>
              <w:t>耐冻融强度</w:t>
            </w:r>
          </w:p>
          <w:p w14:paraId="7B02DE18">
            <w:pPr>
              <w:spacing w:line="54" w:lineRule="exact"/>
            </w:pPr>
            <w:r>
              <w:rPr>
                <w:position w:val="-1"/>
              </w:rPr>
              <w:pict>
                <v:shape id="_x0000_s1102" o:spid="_x0000_s1102" style="height:3pt;width:256.05pt;" fillcolor="#FFFFFF" filled="t" stroked="f" coordsize="5120,60" path="m0,59l5120,59,5120,0,0,0,0,59xe">
                  <v:fill on="t" focussize="0,0"/>
                  <v:stroke on="f"/>
                  <v:imagedata o:title=""/>
                  <o:lock v:ext="edit"/>
                  <w10:wrap type="none"/>
                  <w10:anchorlock/>
                </v:shape>
              </w:pict>
            </w:r>
          </w:p>
        </w:tc>
        <w:tc>
          <w:tcPr>
            <w:tcW w:w="1791" w:type="dxa"/>
            <w:vAlign w:val="top"/>
          </w:tcPr>
          <w:p w14:paraId="37AEA733">
            <w:pPr>
              <w:spacing w:before="3" w:line="57" w:lineRule="exact"/>
              <w:ind w:firstLine="2"/>
            </w:pPr>
            <w:r>
              <w:rPr>
                <w:position w:val="-1"/>
              </w:rPr>
              <w:pict>
                <v:shape id="_x0000_s1103" o:spid="_x0000_s1103" style="height:3pt;width:89.15pt;" fillcolor="#FFFFFF" filled="t" stroked="f" coordsize="1783,60" path="m0,59l1782,59,1782,0,0,0,0,59xe">
                  <v:fill on="t" focussize="0,0"/>
                  <v:stroke on="f"/>
                  <v:imagedata o:title=""/>
                  <o:lock v:ext="edit"/>
                  <w10:wrap type="none"/>
                  <w10:anchorlock/>
                </v:shape>
              </w:pict>
            </w:r>
          </w:p>
          <w:p w14:paraId="3DAC28E6">
            <w:pPr>
              <w:spacing w:line="319" w:lineRule="exact"/>
              <w:ind w:left="603"/>
              <w:rPr>
                <w:rFonts w:ascii="Arial" w:hAnsi="Arial" w:eastAsia="Arial" w:cs="Arial"/>
                <w:sz w:val="24"/>
                <w:szCs w:val="24"/>
              </w:rPr>
            </w:pP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10</w:t>
            </w:r>
          </w:p>
          <w:p w14:paraId="54941688">
            <w:pPr>
              <w:spacing w:line="50" w:lineRule="exact"/>
            </w:pPr>
            <w:r>
              <w:rPr>
                <w:position w:val="-1"/>
              </w:rPr>
              <w:pict>
                <v:shape id="_x0000_s1104" o:spid="_x0000_s1104" style="height:3pt;width:89.6pt;" fillcolor="#FFFFFF" filled="t" stroked="f" coordsize="1791,60" path="m0,59l1791,59,1791,0,0,0,0,59xe">
                  <v:fill on="t" focussize="0,0"/>
                  <v:stroke on="f"/>
                  <v:imagedata o:title=""/>
                  <o:lock v:ext="edit"/>
                  <w10:wrap type="none"/>
                  <w10:anchorlock/>
                </v:shape>
              </w:pict>
            </w:r>
          </w:p>
        </w:tc>
        <w:tc>
          <w:tcPr>
            <w:tcW w:w="2154" w:type="dxa"/>
            <w:vAlign w:val="top"/>
          </w:tcPr>
          <w:p w14:paraId="043826D5">
            <w:pPr>
              <w:spacing w:before="3" w:line="57" w:lineRule="exact"/>
              <w:ind w:firstLine="3"/>
            </w:pPr>
            <w:r>
              <w:rPr>
                <w:position w:val="-1"/>
              </w:rPr>
              <w:pict>
                <v:shape id="_x0000_s1105" o:spid="_x0000_s1105" style="height:3pt;width:107.05pt;" fillcolor="#FFFFFF" filled="t" stroked="f" coordsize="2141,60" path="m0,59l2140,59,2140,0,0,0,0,59xe">
                  <v:fill on="t" focussize="0,0"/>
                  <v:stroke on="f"/>
                  <v:imagedata o:title=""/>
                  <o:lock v:ext="edit"/>
                  <w10:wrap type="none"/>
                  <w10:anchorlock/>
                </v:shape>
              </w:pict>
            </w:r>
          </w:p>
          <w:p w14:paraId="77D94BE8">
            <w:pPr>
              <w:spacing w:line="319" w:lineRule="exact"/>
              <w:ind w:left="783"/>
              <w:rPr>
                <w:rFonts w:ascii="Arial" w:hAnsi="Arial" w:eastAsia="Arial" w:cs="Arial"/>
                <w:sz w:val="24"/>
                <w:szCs w:val="24"/>
              </w:rPr>
            </w:pPr>
            <w:r>
              <w:rPr>
                <w:rFonts w:ascii="Arial" w:hAnsi="Arial" w:eastAsia="Arial" w:cs="Arial"/>
                <w:strike/>
                <w:color w:val="202935"/>
                <w:spacing w:val="-2"/>
                <w:position w:val="1"/>
                <w:sz w:val="24"/>
                <w:szCs w:val="24"/>
              </w:rPr>
              <w:t>≥0</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06</w:t>
            </w:r>
          </w:p>
          <w:p w14:paraId="266DEAA7">
            <w:pPr>
              <w:spacing w:line="50" w:lineRule="exact"/>
            </w:pPr>
            <w:r>
              <w:rPr>
                <w:position w:val="-1"/>
              </w:rPr>
              <w:pict>
                <v:shape id="_x0000_s1106" o:spid="_x0000_s1106" style="height:3pt;width:107.55pt;" fillcolor="#FFFFFF" filled="t" stroked="f" coordsize="2151,60" path="m0,59l2150,59,2150,0,0,0,0,59xe">
                  <v:fill on="t" focussize="0,0"/>
                  <v:stroke on="f"/>
                  <v:imagedata o:title=""/>
                  <o:lock v:ext="edit"/>
                  <w10:wrap type="none"/>
                  <w10:anchorlock/>
                </v:shape>
              </w:pict>
            </w:r>
          </w:p>
        </w:tc>
      </w:tr>
    </w:tbl>
    <w:p w14:paraId="2E55D9A6">
      <w:pPr>
        <w:pStyle w:val="2"/>
        <w:spacing w:line="324" w:lineRule="exact"/>
        <w:ind w:left="3"/>
        <w:rPr>
          <w:rFonts w:ascii="宋体" w:hAnsi="宋体" w:eastAsia="宋体" w:cs="宋体"/>
          <w:sz w:val="24"/>
          <w:szCs w:val="24"/>
        </w:rPr>
      </w:pPr>
      <w:r>
        <w:rPr>
          <w:strike/>
          <w:color w:val="202935"/>
          <w:spacing w:val="-2"/>
          <w:position w:val="1"/>
          <w:sz w:val="24"/>
          <w:szCs w:val="24"/>
        </w:rPr>
        <w:t>4.0.9</w:t>
      </w:r>
      <w:r>
        <w:rPr>
          <w:strike/>
          <w:color w:val="202935"/>
          <w:spacing w:val="21"/>
          <w:position w:val="1"/>
          <w:sz w:val="24"/>
          <w:szCs w:val="24"/>
        </w:rPr>
        <w:t xml:space="preserve">   </w:t>
      </w:r>
      <w:r>
        <w:rPr>
          <w:rFonts w:ascii="宋体" w:hAnsi="宋体" w:eastAsia="宋体" w:cs="宋体"/>
          <w:strike/>
          <w:color w:val="202935"/>
          <w:spacing w:val="-2"/>
          <w:position w:val="1"/>
          <w:sz w:val="24"/>
          <w:szCs w:val="24"/>
        </w:rPr>
        <w:t>玻纤网的主要性能应符合表</w:t>
      </w:r>
      <w:r>
        <w:rPr>
          <w:rFonts w:ascii="宋体" w:hAnsi="宋体" w:eastAsia="宋体" w:cs="宋体"/>
          <w:strike/>
          <w:color w:val="202935"/>
          <w:spacing w:val="-57"/>
          <w:position w:val="1"/>
          <w:sz w:val="24"/>
          <w:szCs w:val="24"/>
        </w:rPr>
        <w:t xml:space="preserve"> </w:t>
      </w:r>
      <w:r>
        <w:rPr>
          <w:strike/>
          <w:color w:val="202935"/>
          <w:spacing w:val="-2"/>
          <w:position w:val="1"/>
          <w:sz w:val="24"/>
          <w:szCs w:val="24"/>
        </w:rPr>
        <w:t>4.0.9</w:t>
      </w:r>
      <w:r>
        <w:rPr>
          <w:strike/>
          <w:color w:val="202935"/>
          <w:spacing w:val="22"/>
          <w:w w:val="101"/>
          <w:position w:val="1"/>
          <w:sz w:val="24"/>
          <w:szCs w:val="24"/>
        </w:rPr>
        <w:t xml:space="preserve"> </w:t>
      </w:r>
      <w:r>
        <w:rPr>
          <w:rFonts w:ascii="宋体" w:hAnsi="宋体" w:eastAsia="宋体" w:cs="宋体"/>
          <w:strike/>
          <w:color w:val="202935"/>
          <w:spacing w:val="-2"/>
          <w:position w:val="1"/>
          <w:sz w:val="24"/>
          <w:szCs w:val="24"/>
        </w:rPr>
        <w:t>的规定。</w:t>
      </w:r>
    </w:p>
    <w:p w14:paraId="55679655">
      <w:pPr>
        <w:spacing w:before="103"/>
      </w:pPr>
    </w:p>
    <w:tbl>
      <w:tblPr>
        <w:tblStyle w:val="5"/>
        <w:tblW w:w="90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56"/>
        <w:gridCol w:w="2911"/>
      </w:tblGrid>
      <w:tr w14:paraId="76C82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9067" w:type="dxa"/>
            <w:gridSpan w:val="2"/>
            <w:tcBorders>
              <w:top w:val="nil"/>
              <w:left w:val="nil"/>
              <w:right w:val="nil"/>
            </w:tcBorders>
            <w:vAlign w:val="top"/>
          </w:tcPr>
          <w:p w14:paraId="1ADA4D6E">
            <w:pPr>
              <w:pStyle w:val="6"/>
              <w:spacing w:line="320" w:lineRule="exact"/>
              <w:ind w:left="5"/>
              <w:rPr>
                <w:sz w:val="24"/>
                <w:szCs w:val="24"/>
              </w:rPr>
            </w:pPr>
            <w:r>
              <w:rPr>
                <w:strike/>
                <w:color w:val="202935"/>
                <w:spacing w:val="-2"/>
                <w:position w:val="1"/>
                <w:sz w:val="24"/>
                <w:szCs w:val="24"/>
              </w:rPr>
              <w:t xml:space="preserve">表 </w:t>
            </w:r>
            <w:r>
              <w:rPr>
                <w:rFonts w:ascii="Arial" w:hAnsi="Arial" w:eastAsia="Arial" w:cs="Arial"/>
                <w:strike/>
                <w:color w:val="202935"/>
                <w:spacing w:val="-2"/>
                <w:position w:val="1"/>
                <w:sz w:val="24"/>
                <w:szCs w:val="24"/>
              </w:rPr>
              <w:t>4.0.9</w:t>
            </w:r>
            <w:r>
              <w:rPr>
                <w:rFonts w:ascii="Arial" w:hAnsi="Arial" w:eastAsia="Arial" w:cs="Arial"/>
                <w:strike/>
                <w:color w:val="202935"/>
                <w:spacing w:val="20"/>
                <w:position w:val="1"/>
                <w:sz w:val="24"/>
                <w:szCs w:val="24"/>
              </w:rPr>
              <w:t xml:space="preserve">   </w:t>
            </w:r>
            <w:r>
              <w:rPr>
                <w:strike/>
                <w:color w:val="202935"/>
                <w:spacing w:val="-2"/>
                <w:position w:val="1"/>
                <w:sz w:val="24"/>
                <w:szCs w:val="24"/>
              </w:rPr>
              <w:t>玻纤网主要性能</w:t>
            </w:r>
          </w:p>
        </w:tc>
      </w:tr>
      <w:tr w14:paraId="29E17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156" w:type="dxa"/>
            <w:vAlign w:val="top"/>
          </w:tcPr>
          <w:p w14:paraId="6F38A41A">
            <w:pPr>
              <w:spacing w:line="53" w:lineRule="exact"/>
              <w:ind w:firstLine="4"/>
            </w:pPr>
            <w:r>
              <w:rPr>
                <w:position w:val="-1"/>
              </w:rPr>
              <w:pict>
                <v:shape id="_x0000_s1107" o:spid="_x0000_s1107" style="height:3pt;width:307.3pt;" fillcolor="#FFFFFF" filled="t" stroked="f" coordsize="6145,60" path="m0,60l6145,60,6145,0,0,0,0,60xe">
                  <v:fill on="t" focussize="0,0"/>
                  <v:stroke on="f"/>
                  <v:imagedata o:title=""/>
                  <o:lock v:ext="edit"/>
                  <w10:wrap type="none"/>
                  <w10:anchorlock/>
                </v:shape>
              </w:pict>
            </w:r>
          </w:p>
          <w:p w14:paraId="3190E41F">
            <w:pPr>
              <w:pStyle w:val="6"/>
              <w:spacing w:before="36" w:line="212" w:lineRule="auto"/>
              <w:ind w:left="2605"/>
              <w:rPr>
                <w:sz w:val="24"/>
                <w:szCs w:val="24"/>
              </w:rPr>
            </w:pPr>
            <w:r>
              <w:rPr>
                <w:strike/>
                <w:color w:val="202935"/>
                <w:spacing w:val="-2"/>
                <w:sz w:val="24"/>
                <w:szCs w:val="24"/>
              </w:rPr>
              <w:t>检验项目</w:t>
            </w:r>
          </w:p>
          <w:p w14:paraId="6B1A1203">
            <w:pPr>
              <w:spacing w:line="60" w:lineRule="exact"/>
            </w:pPr>
            <w:r>
              <w:rPr>
                <w:position w:val="-1"/>
              </w:rPr>
              <w:pict>
                <v:shape id="_x0000_s1108" o:spid="_x0000_s1108" style="height:3pt;width:307.75pt;" fillcolor="#FFFFFF" filled="t" stroked="f" coordsize="6155,60" path="m0,60l6154,60,6154,0,0,0,0,60xe">
                  <v:fill on="t" focussize="0,0"/>
                  <v:stroke on="f"/>
                  <v:imagedata o:title=""/>
                  <o:lock v:ext="edit"/>
                  <w10:wrap type="none"/>
                  <w10:anchorlock/>
                </v:shape>
              </w:pict>
            </w:r>
          </w:p>
        </w:tc>
        <w:tc>
          <w:tcPr>
            <w:tcW w:w="2911" w:type="dxa"/>
            <w:vAlign w:val="top"/>
          </w:tcPr>
          <w:p w14:paraId="48EDBA19">
            <w:pPr>
              <w:spacing w:line="53" w:lineRule="exact"/>
              <w:ind w:firstLine="3"/>
            </w:pPr>
            <w:r>
              <w:rPr>
                <w:position w:val="-1"/>
              </w:rPr>
              <w:pict>
                <v:shape id="_x0000_s1109" o:spid="_x0000_s1109" style="height:3pt;width:144.9pt;" fillcolor="#FFFFFF" filled="t" stroked="f" coordsize="2897,60" path="m0,60l2897,60,2897,0,0,0,0,60xe">
                  <v:fill on="t" focussize="0,0"/>
                  <v:stroke on="f"/>
                  <v:imagedata o:title=""/>
                  <o:lock v:ext="edit"/>
                  <w10:wrap type="none"/>
                  <w10:anchorlock/>
                </v:shape>
              </w:pict>
            </w:r>
          </w:p>
          <w:p w14:paraId="3815E509">
            <w:pPr>
              <w:pStyle w:val="6"/>
              <w:spacing w:before="36" w:line="212" w:lineRule="auto"/>
              <w:ind w:left="984"/>
              <w:rPr>
                <w:sz w:val="24"/>
                <w:szCs w:val="24"/>
              </w:rPr>
            </w:pPr>
            <w:r>
              <w:rPr>
                <w:strike/>
                <w:color w:val="202935"/>
                <w:spacing w:val="-3"/>
                <w:sz w:val="24"/>
                <w:szCs w:val="24"/>
              </w:rPr>
              <w:t>性能要求</w:t>
            </w:r>
          </w:p>
          <w:p w14:paraId="14CCA4F3">
            <w:pPr>
              <w:spacing w:line="60" w:lineRule="exact"/>
            </w:pPr>
            <w:r>
              <w:rPr>
                <w:position w:val="-1"/>
              </w:rPr>
              <w:pict>
                <v:shape id="_x0000_s1110" o:spid="_x0000_s1110" style="height:3pt;width:145.4pt;" fillcolor="#FFFFFF" filled="t" stroked="f" coordsize="2907,60" path="m0,60l2907,60,2907,0,0,0,0,60xe">
                  <v:fill on="t" focussize="0,0"/>
                  <v:stroke on="f"/>
                  <v:imagedata o:title=""/>
                  <o:lock v:ext="edit"/>
                  <w10:wrap type="none"/>
                  <w10:anchorlock/>
                </v:shape>
              </w:pict>
            </w:r>
          </w:p>
        </w:tc>
      </w:tr>
      <w:tr w14:paraId="55EBD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156" w:type="dxa"/>
            <w:tcBorders>
              <w:top w:val="nil"/>
            </w:tcBorders>
            <w:vAlign w:val="top"/>
          </w:tcPr>
          <w:p w14:paraId="228976CC">
            <w:pPr>
              <w:spacing w:line="45" w:lineRule="exact"/>
              <w:ind w:firstLine="4"/>
            </w:pPr>
            <w:r>
              <w:pict>
                <v:shape id="_x0000_s1111" o:spid="_x0000_s1111" style="height:3pt;width:307.3pt;" fillcolor="#FFFFFF" filled="t" stroked="f" coordsize="6145,60" path="m0,60l6145,60,6145,0,0,0,0,60xe">
                  <v:fill on="t" focussize="0,0"/>
                  <v:stroke on="f"/>
                  <v:imagedata o:title=""/>
                  <o:lock v:ext="edit"/>
                  <w10:wrap type="none"/>
                  <w10:anchorlock/>
                </v:shape>
              </w:pict>
            </w:r>
          </w:p>
          <w:p w14:paraId="5C82A25C">
            <w:pPr>
              <w:pStyle w:val="6"/>
              <w:spacing w:before="36" w:line="212" w:lineRule="auto"/>
              <w:ind w:left="2367"/>
              <w:rPr>
                <w:sz w:val="24"/>
                <w:szCs w:val="24"/>
              </w:rPr>
            </w:pPr>
            <w:r>
              <w:rPr>
                <w:strike/>
                <w:color w:val="202935"/>
                <w:spacing w:val="-2"/>
                <w:sz w:val="24"/>
                <w:szCs w:val="24"/>
              </w:rPr>
              <w:t>单位面积质量</w:t>
            </w:r>
          </w:p>
          <w:p w14:paraId="7D959CE7">
            <w:pPr>
              <w:spacing w:line="60" w:lineRule="exact"/>
            </w:pPr>
            <w:r>
              <w:rPr>
                <w:position w:val="-1"/>
              </w:rPr>
              <w:pict>
                <v:shape id="_x0000_s1112" o:spid="_x0000_s1112" style="height:3pt;width:307.75pt;" fillcolor="#FFFFFF" filled="t" stroked="f" coordsize="6155,60" path="m0,60l6154,60,6154,0,0,0,0,60xe">
                  <v:fill on="t" focussize="0,0"/>
                  <v:stroke on="f"/>
                  <v:imagedata o:title=""/>
                  <o:lock v:ext="edit"/>
                  <w10:wrap type="none"/>
                  <w10:anchorlock/>
                </v:shape>
              </w:pict>
            </w:r>
          </w:p>
        </w:tc>
        <w:tc>
          <w:tcPr>
            <w:tcW w:w="2911" w:type="dxa"/>
            <w:tcBorders>
              <w:top w:val="nil"/>
            </w:tcBorders>
            <w:vAlign w:val="top"/>
          </w:tcPr>
          <w:p w14:paraId="6048A99B">
            <w:pPr>
              <w:spacing w:line="42" w:lineRule="exact"/>
              <w:ind w:firstLine="3"/>
            </w:pPr>
            <w:r>
              <w:rPr>
                <w:position w:val="-1"/>
              </w:rPr>
              <w:pict>
                <v:shape id="_x0000_s1113" o:spid="_x0000_s1113" style="height:3pt;width:144.9pt;" fillcolor="#FFFFFF" filled="t" stroked="f" coordsize="2897,60" path="m0,60l2897,60,2897,0,0,0,0,60xe">
                  <v:fill on="t" focussize="0,0"/>
                  <v:stroke on="f"/>
                  <v:imagedata o:title=""/>
                  <o:lock v:ext="edit"/>
                  <w10:wrap type="none"/>
                  <w10:anchorlock/>
                </v:shape>
              </w:pict>
            </w:r>
          </w:p>
          <w:p w14:paraId="339BA7AF">
            <w:pPr>
              <w:spacing w:line="324" w:lineRule="exact"/>
              <w:ind w:left="961"/>
              <w:rPr>
                <w:rFonts w:ascii="Arial" w:hAnsi="Arial" w:eastAsia="Arial" w:cs="Arial"/>
                <w:sz w:val="12"/>
                <w:szCs w:val="12"/>
              </w:rPr>
            </w:pPr>
            <w:r>
              <w:pict>
                <v:shape id="_x0000_s1114" o:spid="_x0000_s1114" style="position:absolute;left:0pt;margin-left:-0.05pt;margin-top:15.75pt;height:3pt;width:145.4pt;z-index:251672576;mso-width-relative:page;mso-height-relative:page;" fillcolor="#FFFFFF" filled="t" stroked="f" coordsize="2907,60" path="m0,60l2907,60,2907,0,0,0,0,60xe">
                  <v:fill on="t" focussize="0,0"/>
                  <v:stroke on="f"/>
                  <v:imagedata o:title=""/>
                  <o:lock v:ext="edit"/>
                </v:shape>
              </w:pict>
            </w:r>
            <w:r>
              <w:rPr>
                <w:rFonts w:ascii="Arial" w:hAnsi="Arial" w:eastAsia="Arial" w:cs="Arial"/>
                <w:strike/>
                <w:color w:val="202935"/>
                <w:spacing w:val="-2"/>
                <w:position w:val="4"/>
                <w:sz w:val="24"/>
                <w:szCs w:val="24"/>
              </w:rPr>
              <w:t>≥160g/m</w:t>
            </w:r>
            <w:r>
              <w:rPr>
                <w:rFonts w:ascii="Arial" w:hAnsi="Arial" w:eastAsia="Arial" w:cs="Arial"/>
                <w:strike/>
                <w:color w:val="202935"/>
                <w:spacing w:val="-2"/>
                <w:position w:val="9"/>
                <w:sz w:val="12"/>
                <w:szCs w:val="12"/>
              </w:rPr>
              <w:t>2</w:t>
            </w:r>
          </w:p>
        </w:tc>
      </w:tr>
      <w:tr w14:paraId="1B031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6156" w:type="dxa"/>
            <w:vAlign w:val="top"/>
          </w:tcPr>
          <w:p w14:paraId="1C2C30E2">
            <w:pPr>
              <w:spacing w:line="52" w:lineRule="exact"/>
              <w:ind w:firstLine="4"/>
            </w:pPr>
            <w:r>
              <w:rPr>
                <w:position w:val="-1"/>
              </w:rPr>
              <w:pict>
                <v:shape id="_x0000_s1115" o:spid="_x0000_s1115" style="height:3pt;width:307.3pt;" fillcolor="#FFFFFF" filled="t" stroked="f" coordsize="6145,60" path="m0,60l6145,60,6145,0,0,0,0,60xe">
                  <v:fill on="t" focussize="0,0"/>
                  <v:stroke on="f"/>
                  <v:imagedata o:title=""/>
                  <o:lock v:ext="edit"/>
                  <w10:wrap type="none"/>
                  <w10:anchorlock/>
                </v:shape>
              </w:pict>
            </w:r>
          </w:p>
          <w:p w14:paraId="716E15CC">
            <w:pPr>
              <w:pStyle w:val="6"/>
              <w:spacing w:before="37" w:line="212" w:lineRule="auto"/>
              <w:ind w:left="1648"/>
              <w:rPr>
                <w:sz w:val="24"/>
                <w:szCs w:val="24"/>
              </w:rPr>
            </w:pPr>
            <w:r>
              <w:rPr>
                <w:strike/>
                <w:color w:val="202935"/>
                <w:spacing w:val="-1"/>
                <w:sz w:val="24"/>
                <w:szCs w:val="24"/>
              </w:rPr>
              <w:t>耐碱断裂强力（经、纬向）</w:t>
            </w:r>
          </w:p>
          <w:p w14:paraId="7D7C55FE">
            <w:pPr>
              <w:spacing w:line="60" w:lineRule="exact"/>
            </w:pPr>
            <w:r>
              <w:rPr>
                <w:position w:val="-1"/>
              </w:rPr>
              <w:pict>
                <v:shape id="_x0000_s1116" o:spid="_x0000_s1116" style="height:3pt;width:307.75pt;" fillcolor="#FFFFFF" filled="t" stroked="f" coordsize="6155,60" path="m0,60l6154,60,6154,0,0,0,0,60xe">
                  <v:fill on="t" focussize="0,0"/>
                  <v:stroke on="f"/>
                  <v:imagedata o:title=""/>
                  <o:lock v:ext="edit"/>
                  <w10:wrap type="none"/>
                  <w10:anchorlock/>
                </v:shape>
              </w:pict>
            </w:r>
          </w:p>
        </w:tc>
        <w:tc>
          <w:tcPr>
            <w:tcW w:w="2911" w:type="dxa"/>
            <w:vAlign w:val="top"/>
          </w:tcPr>
          <w:p w14:paraId="6AE313F7">
            <w:pPr>
              <w:spacing w:line="52" w:lineRule="exact"/>
              <w:ind w:firstLine="3"/>
            </w:pPr>
            <w:r>
              <w:rPr>
                <w:position w:val="-1"/>
              </w:rPr>
              <w:pict>
                <v:shape id="_x0000_s1117" o:spid="_x0000_s1117" style="height:3pt;width:144.9pt;" fillcolor="#FFFFFF" filled="t" stroked="f" coordsize="2897,60" path="m0,60l2897,60,2897,0,0,0,0,60xe">
                  <v:fill on="t" focussize="0,0"/>
                  <v:stroke on="f"/>
                  <v:imagedata o:title=""/>
                  <o:lock v:ext="edit"/>
                  <w10:wrap type="none"/>
                  <w10:anchorlock/>
                </v:shape>
              </w:pict>
            </w:r>
          </w:p>
          <w:p w14:paraId="1B36BCD8">
            <w:pPr>
              <w:spacing w:before="67" w:line="198" w:lineRule="auto"/>
              <w:ind w:left="674"/>
              <w:rPr>
                <w:rFonts w:ascii="Arial" w:hAnsi="Arial" w:eastAsia="Arial" w:cs="Arial"/>
                <w:sz w:val="24"/>
                <w:szCs w:val="24"/>
              </w:rPr>
            </w:pPr>
            <w:r>
              <w:rPr>
                <w:rFonts w:ascii="Arial" w:hAnsi="Arial" w:eastAsia="Arial" w:cs="Arial"/>
                <w:strike/>
                <w:color w:val="202935"/>
                <w:spacing w:val="-1"/>
                <w:sz w:val="24"/>
                <w:szCs w:val="24"/>
              </w:rPr>
              <w:t>≥1000N/50mm</w:t>
            </w:r>
          </w:p>
          <w:p w14:paraId="4548A4A0">
            <w:pPr>
              <w:spacing w:before="17" w:line="60" w:lineRule="exact"/>
            </w:pPr>
            <w:r>
              <w:rPr>
                <w:position w:val="-1"/>
              </w:rPr>
              <w:pict>
                <v:shape id="_x0000_s1118" o:spid="_x0000_s1118" style="height:3pt;width:145.4pt;" fillcolor="#FFFFFF" filled="t" stroked="f" coordsize="2907,60" path="m0,60l2907,60,2907,0,0,0,0,60xe">
                  <v:fill on="t" focussize="0,0"/>
                  <v:stroke on="f"/>
                  <v:imagedata o:title=""/>
                  <o:lock v:ext="edit"/>
                  <w10:wrap type="none"/>
                  <w10:anchorlock/>
                </v:shape>
              </w:pict>
            </w:r>
          </w:p>
        </w:tc>
      </w:tr>
      <w:tr w14:paraId="37148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156" w:type="dxa"/>
            <w:tcBorders>
              <w:top w:val="nil"/>
            </w:tcBorders>
            <w:vAlign w:val="top"/>
          </w:tcPr>
          <w:p w14:paraId="6AECD94A">
            <w:pPr>
              <w:spacing w:line="43" w:lineRule="exact"/>
              <w:ind w:firstLine="4"/>
            </w:pPr>
            <w:r>
              <w:pict>
                <v:shape id="_x0000_s1119" o:spid="_x0000_s1119" style="height:3pt;width:307.3pt;" fillcolor="#FFFFFF" filled="t" stroked="f" coordsize="6145,60" path="m0,60l6145,60,6145,0,0,0,0,60xe">
                  <v:fill on="t" focussize="0,0"/>
                  <v:stroke on="f"/>
                  <v:imagedata o:title=""/>
                  <o:lock v:ext="edit"/>
                  <w10:wrap type="none"/>
                  <w10:anchorlock/>
                </v:shape>
              </w:pict>
            </w:r>
          </w:p>
          <w:p w14:paraId="288F823A">
            <w:pPr>
              <w:pStyle w:val="6"/>
              <w:spacing w:before="36" w:line="212" w:lineRule="auto"/>
              <w:ind w:left="1288"/>
              <w:rPr>
                <w:sz w:val="24"/>
                <w:szCs w:val="24"/>
              </w:rPr>
            </w:pPr>
            <w:r>
              <w:rPr>
                <w:strike/>
                <w:color w:val="202935"/>
                <w:spacing w:val="-1"/>
                <w:sz w:val="24"/>
                <w:szCs w:val="24"/>
              </w:rPr>
              <w:t>耐碱断裂强力保留率（经、纬向）</w:t>
            </w:r>
          </w:p>
          <w:p w14:paraId="0F03E362">
            <w:pPr>
              <w:spacing w:line="49" w:lineRule="exact"/>
            </w:pPr>
            <w:r>
              <w:rPr>
                <w:position w:val="-2"/>
              </w:rPr>
              <w:pict>
                <v:shape id="_x0000_s1120" o:spid="_x0000_s1120" style="height:3pt;width:307.75pt;" fillcolor="#FFFFFF" filled="t" stroked="f" coordsize="6155,60" path="m0,60l6154,60,6154,0,0,0,0,60xe">
                  <v:fill on="t" focussize="0,0"/>
                  <v:stroke on="f"/>
                  <v:imagedata o:title=""/>
                  <o:lock v:ext="edit"/>
                  <w10:wrap type="none"/>
                  <w10:anchorlock/>
                </v:shape>
              </w:pict>
            </w:r>
          </w:p>
        </w:tc>
        <w:tc>
          <w:tcPr>
            <w:tcW w:w="2911" w:type="dxa"/>
            <w:tcBorders>
              <w:top w:val="nil"/>
            </w:tcBorders>
            <w:vAlign w:val="top"/>
          </w:tcPr>
          <w:p w14:paraId="3EFC1DD8">
            <w:pPr>
              <w:spacing w:line="40" w:lineRule="exact"/>
              <w:ind w:firstLine="3"/>
            </w:pPr>
            <w:r>
              <w:rPr>
                <w:position w:val="-1"/>
              </w:rPr>
              <w:pict>
                <v:shape id="_x0000_s1121" o:spid="_x0000_s1121" style="height:3pt;width:144.9pt;" fillcolor="#FFFFFF" filled="t" stroked="f" coordsize="2897,60" path="m0,60l2897,60,2897,0,0,0,0,60xe">
                  <v:fill on="t" focussize="0,0"/>
                  <v:stroke on="f"/>
                  <v:imagedata o:title=""/>
                  <o:lock v:ext="edit"/>
                  <w10:wrap type="none"/>
                  <w10:anchorlock/>
                </v:shape>
              </w:pict>
            </w:r>
          </w:p>
          <w:p w14:paraId="3F70C692">
            <w:pPr>
              <w:spacing w:line="324" w:lineRule="exact"/>
              <w:ind w:left="1154"/>
              <w:rPr>
                <w:rFonts w:ascii="Arial" w:hAnsi="Arial" w:eastAsia="Arial" w:cs="Arial"/>
                <w:sz w:val="24"/>
                <w:szCs w:val="24"/>
              </w:rPr>
            </w:pPr>
            <w:r>
              <w:pict>
                <v:shape id="_x0000_s1122" o:spid="_x0000_s1122" style="position:absolute;left:0pt;margin-left:-0.05pt;margin-top:15.75pt;height:3pt;width:145.4pt;z-index:251671552;mso-width-relative:page;mso-height-relative:page;" fillcolor="#FFFFFF" filled="t" stroked="f" coordsize="2907,60" path="m0,60l2907,60,2907,0,0,0,0,60xe">
                  <v:fill on="t" focussize="0,0"/>
                  <v:stroke on="f"/>
                  <v:imagedata o:title=""/>
                  <o:lock v:ext="edit"/>
                </v:shape>
              </w:pict>
            </w:r>
            <w:r>
              <w:rPr>
                <w:rFonts w:ascii="Arial" w:hAnsi="Arial" w:eastAsia="Arial" w:cs="Arial"/>
                <w:strike/>
                <w:color w:val="202935"/>
                <w:spacing w:val="-3"/>
                <w:position w:val="1"/>
                <w:sz w:val="24"/>
                <w:szCs w:val="24"/>
              </w:rPr>
              <w:t>≥50%</w:t>
            </w:r>
          </w:p>
        </w:tc>
      </w:tr>
      <w:tr w14:paraId="3CA6A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6156" w:type="dxa"/>
            <w:tcBorders>
              <w:top w:val="nil"/>
            </w:tcBorders>
            <w:vAlign w:val="top"/>
          </w:tcPr>
          <w:p w14:paraId="6D48BB78">
            <w:pPr>
              <w:spacing w:before="5" w:line="60" w:lineRule="exact"/>
              <w:ind w:firstLine="4"/>
            </w:pPr>
            <w:r>
              <w:rPr>
                <w:position w:val="-1"/>
              </w:rPr>
              <w:pict>
                <v:shape id="_x0000_s1123" o:spid="_x0000_s1123" style="height:3pt;width:307.3pt;" fillcolor="#FFFFFF" filled="t" stroked="f" coordsize="6145,60" path="m0,60l6145,60,6145,0,0,0,0,60xe">
                  <v:fill on="t" focussize="0,0"/>
                  <v:stroke on="f"/>
                  <v:imagedata o:title=""/>
                  <o:lock v:ext="edit"/>
                  <w10:wrap type="none"/>
                  <w10:anchorlock/>
                </v:shape>
              </w:pict>
            </w:r>
          </w:p>
          <w:p w14:paraId="173A7B0D">
            <w:pPr>
              <w:pStyle w:val="6"/>
              <w:spacing w:before="36" w:line="213" w:lineRule="auto"/>
              <w:ind w:left="1775"/>
              <w:rPr>
                <w:sz w:val="24"/>
                <w:szCs w:val="24"/>
              </w:rPr>
            </w:pPr>
            <w:r>
              <w:rPr>
                <w:strike/>
                <w:color w:val="202935"/>
                <w:spacing w:val="-2"/>
                <w:sz w:val="24"/>
                <w:szCs w:val="24"/>
              </w:rPr>
              <w:t>断裂伸长率（经、纬向）</w:t>
            </w:r>
          </w:p>
          <w:p w14:paraId="1E3AC6F7">
            <w:pPr>
              <w:spacing w:line="54" w:lineRule="exact"/>
            </w:pPr>
            <w:r>
              <w:rPr>
                <w:position w:val="-1"/>
              </w:rPr>
              <w:pict>
                <v:shape id="_x0000_s1124" o:spid="_x0000_s1124" style="height:3pt;width:307.75pt;" fillcolor="#FFFFFF" filled="t" stroked="f" coordsize="6155,60" path="m0,60l6154,60,6154,0,0,0,0,60xe">
                  <v:fill on="t" focussize="0,0"/>
                  <v:stroke on="f"/>
                  <v:imagedata o:title=""/>
                  <o:lock v:ext="edit"/>
                  <w10:wrap type="none"/>
                  <w10:anchorlock/>
                </v:shape>
              </w:pict>
            </w:r>
          </w:p>
        </w:tc>
        <w:tc>
          <w:tcPr>
            <w:tcW w:w="2911" w:type="dxa"/>
            <w:tcBorders>
              <w:top w:val="nil"/>
            </w:tcBorders>
            <w:vAlign w:val="top"/>
          </w:tcPr>
          <w:p w14:paraId="35FEA127">
            <w:pPr>
              <w:spacing w:before="5" w:line="57" w:lineRule="exact"/>
              <w:ind w:firstLine="3"/>
            </w:pPr>
            <w:r>
              <w:rPr>
                <w:position w:val="-1"/>
              </w:rPr>
              <w:pict>
                <v:shape id="_x0000_s1125" o:spid="_x0000_s1125" style="height:3pt;width:144.9pt;" fillcolor="#FFFFFF" filled="t" stroked="f" coordsize="2897,60" path="m0,60l2897,60,2897,0,0,0,0,60xe">
                  <v:fill on="t" focussize="0,0"/>
                  <v:stroke on="f"/>
                  <v:imagedata o:title=""/>
                  <o:lock v:ext="edit"/>
                  <w10:wrap type="none"/>
                  <w10:anchorlock/>
                </v:shape>
              </w:pict>
            </w:r>
          </w:p>
          <w:p w14:paraId="6156709B">
            <w:pPr>
              <w:spacing w:line="320" w:lineRule="exact"/>
              <w:ind w:left="1121"/>
              <w:rPr>
                <w:rFonts w:ascii="Arial" w:hAnsi="Arial" w:eastAsia="Arial" w:cs="Arial"/>
                <w:sz w:val="24"/>
                <w:szCs w:val="24"/>
              </w:rPr>
            </w:pPr>
            <w:r>
              <w:rPr>
                <w:rFonts w:ascii="Arial" w:hAnsi="Arial" w:eastAsia="Arial" w:cs="Arial"/>
                <w:strike/>
                <w:color w:val="202935"/>
                <w:spacing w:val="-2"/>
                <w:position w:val="1"/>
                <w:sz w:val="24"/>
                <w:szCs w:val="24"/>
              </w:rPr>
              <w:t>≤5</w:t>
            </w:r>
            <w:r>
              <w:rPr>
                <w:rFonts w:ascii="Arial" w:hAnsi="Arial" w:eastAsia="Arial" w:cs="Arial"/>
                <w:color w:val="202935"/>
                <w:spacing w:val="-2"/>
                <w:position w:val="1"/>
                <w:sz w:val="24"/>
                <w:szCs w:val="24"/>
              </w:rPr>
              <w:t>.</w:t>
            </w:r>
            <w:r>
              <w:rPr>
                <w:rFonts w:ascii="Arial" w:hAnsi="Arial" w:eastAsia="Arial" w:cs="Arial"/>
                <w:strike/>
                <w:color w:val="202935"/>
                <w:spacing w:val="-2"/>
                <w:position w:val="1"/>
                <w:sz w:val="24"/>
                <w:szCs w:val="24"/>
              </w:rPr>
              <w:t>0%</w:t>
            </w:r>
          </w:p>
          <w:p w14:paraId="16A7F483">
            <w:pPr>
              <w:spacing w:line="50" w:lineRule="exact"/>
            </w:pPr>
            <w:r>
              <w:rPr>
                <w:position w:val="-1"/>
              </w:rPr>
              <w:pict>
                <v:shape id="_x0000_s1126" o:spid="_x0000_s1126" style="height:3pt;width:145.4pt;" fillcolor="#FFFFFF" filled="t" stroked="f" coordsize="2907,60" path="m0,60l2907,60,2907,0,0,0,0,60xe">
                  <v:fill on="t" focussize="0,0"/>
                  <v:stroke on="f"/>
                  <v:imagedata o:title=""/>
                  <o:lock v:ext="edit"/>
                  <w10:wrap type="none"/>
                  <w10:anchorlock/>
                </v:shape>
              </w:pict>
            </w:r>
          </w:p>
        </w:tc>
      </w:tr>
    </w:tbl>
    <w:p w14:paraId="2B80405E">
      <w:pPr>
        <w:spacing w:before="193" w:line="226" w:lineRule="auto"/>
        <w:ind w:left="18"/>
        <w:outlineLvl w:val="2"/>
        <w:rPr>
          <w:rFonts w:ascii="宋体" w:hAnsi="宋体" w:eastAsia="宋体" w:cs="宋体"/>
          <w:sz w:val="27"/>
          <w:szCs w:val="27"/>
        </w:rPr>
      </w:pPr>
      <w:bookmarkStart w:id="87" w:name="bookmark133"/>
      <w:bookmarkEnd w:id="87"/>
      <w:r>
        <w:rPr>
          <w:rFonts w:ascii="Times New Roman" w:hAnsi="Times New Roman" w:eastAsia="Times New Roman" w:cs="Times New Roman"/>
          <w:b/>
          <w:bCs/>
          <w:spacing w:val="6"/>
          <w:sz w:val="27"/>
          <w:szCs w:val="27"/>
        </w:rPr>
        <w:t>11.</w:t>
      </w:r>
      <w:r>
        <w:rPr>
          <w:rFonts w:ascii="Times New Roman" w:hAnsi="Times New Roman" w:eastAsia="Times New Roman" w:cs="Times New Roman"/>
          <w:b/>
          <w:bCs/>
          <w:spacing w:val="-38"/>
          <w:sz w:val="27"/>
          <w:szCs w:val="27"/>
        </w:rPr>
        <w:t xml:space="preserve"> </w:t>
      </w:r>
      <w:r>
        <w:rPr>
          <w:rFonts w:ascii="宋体" w:hAnsi="宋体" w:eastAsia="宋体" w:cs="宋体"/>
          <w:b/>
          <w:bCs/>
          <w:spacing w:val="6"/>
          <w:sz w:val="27"/>
          <w:szCs w:val="27"/>
        </w:rPr>
        <w:t>《公共建筑节能改造技术规范》——</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176-200</w:t>
      </w:r>
      <w:r>
        <w:rPr>
          <w:rFonts w:ascii="Times New Roman" w:hAnsi="Times New Roman" w:eastAsia="Times New Roman" w:cs="Times New Roman"/>
          <w:b/>
          <w:bCs/>
          <w:spacing w:val="5"/>
          <w:sz w:val="27"/>
          <w:szCs w:val="27"/>
        </w:rPr>
        <w:t>9</w:t>
      </w:r>
      <w:r>
        <w:rPr>
          <w:rFonts w:ascii="宋体" w:hAnsi="宋体" w:eastAsia="宋体" w:cs="宋体"/>
          <w:b/>
          <w:bCs/>
          <w:spacing w:val="5"/>
          <w:sz w:val="27"/>
          <w:szCs w:val="27"/>
        </w:rPr>
        <w:t>【强条已废】</w:t>
      </w:r>
    </w:p>
    <w:p w14:paraId="2ECAE2A2">
      <w:pPr>
        <w:spacing w:before="286" w:line="220" w:lineRule="auto"/>
        <w:ind w:left="36"/>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GB55015-2021 </w:t>
      </w:r>
      <w:r>
        <w:rPr>
          <w:rFonts w:ascii="宋体" w:hAnsi="宋体" w:eastAsia="宋体" w:cs="宋体"/>
          <w:b/>
          <w:bCs/>
          <w:color w:val="0563C1"/>
          <w:spacing w:val="-2"/>
          <w:sz w:val="24"/>
          <w:szCs w:val="24"/>
          <w:u w:val="single" w:color="auto"/>
        </w:rPr>
        <w:t>建筑节能与可再生能源利用通用规范</w:t>
      </w:r>
      <w:r>
        <w:rPr>
          <w:rFonts w:ascii="宋体" w:hAnsi="宋体" w:eastAsia="宋体" w:cs="宋体"/>
          <w:b/>
          <w:bCs/>
          <w:color w:val="EE0000"/>
          <w:spacing w:val="-2"/>
          <w:sz w:val="24"/>
          <w:szCs w:val="24"/>
        </w:rPr>
        <w:t>》替代</w:t>
      </w:r>
    </w:p>
    <w:p w14:paraId="3A9E1BF7">
      <w:pPr>
        <w:spacing w:before="154" w:line="279" w:lineRule="auto"/>
        <w:ind w:left="10" w:right="192" w:firstLine="1"/>
        <w:rPr>
          <w:rFonts w:ascii="宋体" w:hAnsi="宋体" w:eastAsia="宋体" w:cs="宋体"/>
          <w:sz w:val="24"/>
          <w:szCs w:val="24"/>
        </w:rPr>
      </w:pPr>
      <w:r>
        <w:rPr>
          <w:rFonts w:ascii="Times New Roman" w:hAnsi="Times New Roman" w:eastAsia="Times New Roman" w:cs="Times New Roman"/>
          <w:strike/>
          <w:sz w:val="24"/>
          <w:szCs w:val="24"/>
        </w:rPr>
        <w:t xml:space="preserve">5.1.1    </w:t>
      </w:r>
      <w:r>
        <w:rPr>
          <w:rFonts w:ascii="宋体" w:hAnsi="宋体" w:eastAsia="宋体" w:cs="宋体"/>
          <w:strike/>
          <w:sz w:val="24"/>
          <w:szCs w:val="24"/>
        </w:rPr>
        <w:t>公共建筑外围护结构进行节能改造后，所改造部</w:t>
      </w:r>
      <w:r>
        <w:rPr>
          <w:rFonts w:ascii="宋体" w:hAnsi="宋体" w:eastAsia="宋体" w:cs="宋体"/>
          <w:strike/>
          <w:spacing w:val="-1"/>
          <w:sz w:val="24"/>
          <w:szCs w:val="24"/>
        </w:rPr>
        <w:t>位的热工性能应符合现行国家</w:t>
      </w:r>
      <w:r>
        <w:rPr>
          <w:rFonts w:ascii="宋体" w:hAnsi="宋体" w:eastAsia="宋体" w:cs="宋体"/>
          <w:sz w:val="24"/>
          <w:szCs w:val="24"/>
        </w:rPr>
        <w:t xml:space="preserve"> </w:t>
      </w:r>
      <w:r>
        <w:rPr>
          <w:rFonts w:ascii="宋体" w:hAnsi="宋体" w:eastAsia="宋体" w:cs="宋体"/>
          <w:strike/>
          <w:spacing w:val="-1"/>
          <w:sz w:val="24"/>
          <w:szCs w:val="24"/>
        </w:rPr>
        <w:t>标准《公共建筑节能设计标准》</w:t>
      </w:r>
      <w:r>
        <w:rPr>
          <w:rFonts w:ascii="Times New Roman" w:hAnsi="Times New Roman" w:eastAsia="Times New Roman" w:cs="Times New Roman"/>
          <w:strike/>
          <w:spacing w:val="-1"/>
          <w:sz w:val="24"/>
          <w:szCs w:val="24"/>
        </w:rPr>
        <w:t>GB50189</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的规定性指标</w:t>
      </w:r>
      <w:r>
        <w:rPr>
          <w:rFonts w:ascii="宋体" w:hAnsi="宋体" w:eastAsia="宋体" w:cs="宋体"/>
          <w:strike/>
          <w:spacing w:val="-2"/>
          <w:sz w:val="24"/>
          <w:szCs w:val="24"/>
        </w:rPr>
        <w:t>限值的要求。</w:t>
      </w:r>
    </w:p>
    <w:p w14:paraId="1FC9B2DA">
      <w:pPr>
        <w:spacing w:before="155" w:line="219"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6.1.6    </w:t>
      </w:r>
      <w:r>
        <w:rPr>
          <w:rFonts w:ascii="宋体" w:hAnsi="宋体" w:eastAsia="宋体" w:cs="宋体"/>
          <w:strike/>
          <w:sz w:val="24"/>
          <w:szCs w:val="24"/>
        </w:rPr>
        <w:t>公共建筑节能改造后，采暖空调系</w:t>
      </w:r>
      <w:r>
        <w:rPr>
          <w:rFonts w:ascii="宋体" w:hAnsi="宋体" w:eastAsia="宋体" w:cs="宋体"/>
          <w:strike/>
          <w:spacing w:val="-1"/>
          <w:sz w:val="24"/>
          <w:szCs w:val="24"/>
        </w:rPr>
        <w:t>统应具备室温调控功能。</w:t>
      </w:r>
    </w:p>
    <w:p w14:paraId="6B594D4F">
      <w:pPr>
        <w:spacing w:line="219" w:lineRule="auto"/>
        <w:rPr>
          <w:rFonts w:ascii="宋体" w:hAnsi="宋体" w:eastAsia="宋体" w:cs="宋体"/>
          <w:sz w:val="24"/>
          <w:szCs w:val="24"/>
        </w:rPr>
        <w:sectPr>
          <w:footerReference r:id="rId65" w:type="default"/>
          <w:pgSz w:w="11907" w:h="16839"/>
          <w:pgMar w:top="400" w:right="1417" w:bottom="743" w:left="1417" w:header="0" w:footer="582" w:gutter="0"/>
          <w:cols w:space="720" w:num="1"/>
        </w:sectPr>
      </w:pPr>
    </w:p>
    <w:p w14:paraId="01E55188">
      <w:pPr>
        <w:pStyle w:val="2"/>
        <w:spacing w:line="309" w:lineRule="auto"/>
      </w:pPr>
    </w:p>
    <w:p w14:paraId="089909B2">
      <w:pPr>
        <w:pStyle w:val="2"/>
        <w:spacing w:line="309" w:lineRule="auto"/>
      </w:pPr>
    </w:p>
    <w:p w14:paraId="60B58649">
      <w:pPr>
        <w:pStyle w:val="2"/>
        <w:spacing w:line="309" w:lineRule="auto"/>
      </w:pPr>
    </w:p>
    <w:p w14:paraId="5339418F">
      <w:pPr>
        <w:spacing w:before="88" w:line="225" w:lineRule="auto"/>
        <w:ind w:left="14"/>
        <w:outlineLvl w:val="2"/>
        <w:rPr>
          <w:rFonts w:ascii="Times New Roman" w:hAnsi="Times New Roman" w:eastAsia="Times New Roman" w:cs="Times New Roman"/>
          <w:sz w:val="27"/>
          <w:szCs w:val="27"/>
        </w:rPr>
      </w:pPr>
      <w:bookmarkStart w:id="88" w:name="bookmark134"/>
      <w:bookmarkEnd w:id="88"/>
      <w:r>
        <w:rPr>
          <w:rFonts w:ascii="Times New Roman" w:hAnsi="Times New Roman" w:eastAsia="Times New Roman" w:cs="Times New Roman"/>
          <w:b/>
          <w:bCs/>
          <w:spacing w:val="5"/>
          <w:sz w:val="27"/>
          <w:szCs w:val="27"/>
        </w:rPr>
        <w:t>12.</w:t>
      </w:r>
      <w:r>
        <w:rPr>
          <w:rFonts w:ascii="Times New Roman" w:hAnsi="Times New Roman" w:eastAsia="Times New Roman" w:cs="Times New Roman"/>
          <w:b/>
          <w:bCs/>
          <w:spacing w:val="-38"/>
          <w:sz w:val="27"/>
          <w:szCs w:val="27"/>
        </w:rPr>
        <w:t xml:space="preserve"> </w:t>
      </w:r>
      <w:r>
        <w:rPr>
          <w:rFonts w:ascii="宋体" w:hAnsi="宋体" w:eastAsia="宋体" w:cs="宋体"/>
          <w:b/>
          <w:bCs/>
          <w:spacing w:val="5"/>
          <w:sz w:val="27"/>
          <w:szCs w:val="27"/>
        </w:rPr>
        <w:t>《民用建筑太阳能光伏系统应用技术规范</w:t>
      </w:r>
      <w:r>
        <w:rPr>
          <w:rFonts w:ascii="宋体" w:hAnsi="宋体" w:eastAsia="宋体" w:cs="宋体"/>
          <w:b/>
          <w:bCs/>
          <w:spacing w:val="4"/>
          <w:sz w:val="27"/>
          <w:szCs w:val="27"/>
        </w:rPr>
        <w:t>》</w:t>
      </w:r>
      <w:r>
        <w:rPr>
          <w:rFonts w:ascii="宋体" w:hAnsi="宋体" w:eastAsia="宋体" w:cs="宋体"/>
          <w:spacing w:val="-91"/>
          <w:sz w:val="27"/>
          <w:szCs w:val="27"/>
        </w:rPr>
        <w:t xml:space="preserve"> </w:t>
      </w:r>
      <w:r>
        <w:rPr>
          <w:rFonts w:ascii="宋体" w:hAnsi="宋体" w:eastAsia="宋体" w:cs="宋体"/>
          <w:b/>
          <w:bCs/>
          <w:spacing w:val="4"/>
          <w:sz w:val="27"/>
          <w:szCs w:val="27"/>
        </w:rPr>
        <w:t>——</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4"/>
          <w:sz w:val="27"/>
          <w:szCs w:val="27"/>
        </w:rPr>
        <w:t>203-2010</w:t>
      </w:r>
    </w:p>
    <w:p w14:paraId="01B15555">
      <w:pPr>
        <w:spacing w:before="286" w:line="279" w:lineRule="auto"/>
        <w:ind w:left="5" w:right="400" w:firstLine="18"/>
        <w:rPr>
          <w:rFonts w:ascii="宋体" w:hAnsi="宋体" w:eastAsia="宋体" w:cs="宋体"/>
          <w:sz w:val="24"/>
          <w:szCs w:val="24"/>
        </w:rPr>
      </w:pPr>
      <w:r>
        <w:rPr>
          <w:rFonts w:ascii="Times New Roman" w:hAnsi="Times New Roman" w:eastAsia="Times New Roman" w:cs="Times New Roman"/>
          <w:spacing w:val="-1"/>
          <w:sz w:val="24"/>
          <w:szCs w:val="24"/>
        </w:rPr>
        <w:t xml:space="preserve">1.0.4    </w:t>
      </w:r>
      <w:r>
        <w:rPr>
          <w:rFonts w:ascii="宋体" w:hAnsi="宋体" w:eastAsia="宋体" w:cs="宋体"/>
          <w:spacing w:val="-1"/>
          <w:sz w:val="24"/>
          <w:szCs w:val="24"/>
        </w:rPr>
        <w:t>在既有建筑上安装或改造光伏系统应按建筑工程审批程序进行专项工程的设</w:t>
      </w:r>
      <w:r>
        <w:rPr>
          <w:rFonts w:ascii="宋体" w:hAnsi="宋体" w:eastAsia="宋体" w:cs="宋体"/>
          <w:spacing w:val="12"/>
          <w:sz w:val="24"/>
          <w:szCs w:val="24"/>
        </w:rPr>
        <w:t xml:space="preserve"> </w:t>
      </w:r>
      <w:r>
        <w:rPr>
          <w:rFonts w:ascii="宋体" w:hAnsi="宋体" w:eastAsia="宋体" w:cs="宋体"/>
          <w:spacing w:val="-5"/>
          <w:sz w:val="24"/>
          <w:szCs w:val="24"/>
        </w:rPr>
        <w:t>计、施工和验收。</w:t>
      </w:r>
    </w:p>
    <w:p w14:paraId="74C22F90">
      <w:pPr>
        <w:spacing w:before="154"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3.1.5    </w:t>
      </w:r>
      <w:r>
        <w:rPr>
          <w:rFonts w:ascii="宋体" w:hAnsi="宋体" w:eastAsia="宋体" w:cs="宋体"/>
          <w:spacing w:val="-1"/>
          <w:sz w:val="24"/>
          <w:szCs w:val="24"/>
        </w:rPr>
        <w:t>在人员有可能接触或接近光伏系统的位置，应设置防触</w:t>
      </w:r>
      <w:r>
        <w:rPr>
          <w:rFonts w:ascii="宋体" w:hAnsi="宋体" w:eastAsia="宋体" w:cs="宋体"/>
          <w:spacing w:val="-2"/>
          <w:sz w:val="24"/>
          <w:szCs w:val="24"/>
        </w:rPr>
        <w:t>电警示标识。</w:t>
      </w:r>
    </w:p>
    <w:p w14:paraId="3BDDB157">
      <w:pPr>
        <w:spacing w:before="154" w:line="219" w:lineRule="auto"/>
        <w:ind w:left="5"/>
        <w:rPr>
          <w:rFonts w:ascii="宋体" w:hAnsi="宋体" w:eastAsia="宋体" w:cs="宋体"/>
          <w:sz w:val="24"/>
          <w:szCs w:val="24"/>
        </w:rPr>
      </w:pPr>
      <w:r>
        <w:rPr>
          <w:rFonts w:ascii="Times New Roman" w:hAnsi="Times New Roman" w:eastAsia="Times New Roman" w:cs="Times New Roman"/>
          <w:spacing w:val="-1"/>
          <w:sz w:val="24"/>
          <w:szCs w:val="24"/>
        </w:rPr>
        <w:t xml:space="preserve">3.1.6    </w:t>
      </w:r>
      <w:r>
        <w:rPr>
          <w:rFonts w:ascii="宋体" w:hAnsi="宋体" w:eastAsia="宋体" w:cs="宋体"/>
          <w:spacing w:val="-1"/>
          <w:sz w:val="24"/>
          <w:szCs w:val="24"/>
        </w:rPr>
        <w:t>并网光伏系统应具有相应的并网保护功能，并应安装必要的</w:t>
      </w:r>
      <w:r>
        <w:rPr>
          <w:rFonts w:ascii="宋体" w:hAnsi="宋体" w:eastAsia="宋体" w:cs="宋体"/>
          <w:spacing w:val="-2"/>
          <w:sz w:val="24"/>
          <w:szCs w:val="24"/>
        </w:rPr>
        <w:t>计量装置。</w:t>
      </w:r>
    </w:p>
    <w:p w14:paraId="347DF672">
      <w:pPr>
        <w:spacing w:before="157" w:line="278" w:lineRule="auto"/>
        <w:ind w:left="6" w:right="160" w:hanging="1"/>
        <w:rPr>
          <w:rFonts w:ascii="宋体" w:hAnsi="宋体" w:eastAsia="宋体" w:cs="宋体"/>
          <w:sz w:val="24"/>
          <w:szCs w:val="24"/>
        </w:rPr>
      </w:pPr>
      <w:r>
        <w:rPr>
          <w:rFonts w:ascii="Times New Roman" w:hAnsi="Times New Roman" w:eastAsia="Times New Roman" w:cs="Times New Roman"/>
          <w:sz w:val="24"/>
          <w:szCs w:val="24"/>
        </w:rPr>
        <w:t xml:space="preserve">3.4.2    </w:t>
      </w:r>
      <w:r>
        <w:rPr>
          <w:rFonts w:ascii="宋体" w:hAnsi="宋体" w:eastAsia="宋体" w:cs="宋体"/>
          <w:sz w:val="24"/>
          <w:szCs w:val="24"/>
        </w:rPr>
        <w:t>并网光伏系统与公共电网之间应设隔离装置。光伏系</w:t>
      </w:r>
      <w:r>
        <w:rPr>
          <w:rFonts w:ascii="宋体" w:hAnsi="宋体" w:eastAsia="宋体" w:cs="宋体"/>
          <w:spacing w:val="-1"/>
          <w:sz w:val="24"/>
          <w:szCs w:val="24"/>
        </w:rPr>
        <w:t>统在并网处应设置并网专</w:t>
      </w:r>
      <w:r>
        <w:rPr>
          <w:rFonts w:ascii="宋体" w:hAnsi="宋体" w:eastAsia="宋体" w:cs="宋体"/>
          <w:sz w:val="24"/>
          <w:szCs w:val="24"/>
        </w:rPr>
        <w:t xml:space="preserve"> 用低压开关箱（柜），并应设置专用标识和“警告”、</w:t>
      </w:r>
      <w:r>
        <w:rPr>
          <w:rFonts w:ascii="宋体" w:hAnsi="宋体" w:eastAsia="宋体" w:cs="宋体"/>
          <w:spacing w:val="-1"/>
          <w:sz w:val="24"/>
          <w:szCs w:val="24"/>
        </w:rPr>
        <w:t>“双电源”提示性文字和符</w:t>
      </w:r>
    </w:p>
    <w:p w14:paraId="710BF9A1">
      <w:pPr>
        <w:spacing w:before="156" w:line="221" w:lineRule="auto"/>
        <w:ind w:left="11"/>
        <w:rPr>
          <w:rFonts w:ascii="宋体" w:hAnsi="宋体" w:eastAsia="宋体" w:cs="宋体"/>
          <w:sz w:val="24"/>
          <w:szCs w:val="24"/>
        </w:rPr>
      </w:pPr>
      <w:r>
        <w:rPr>
          <w:rFonts w:ascii="宋体" w:hAnsi="宋体" w:eastAsia="宋体" w:cs="宋体"/>
          <w:spacing w:val="-13"/>
          <w:sz w:val="24"/>
          <w:szCs w:val="24"/>
        </w:rPr>
        <w:t>号。</w:t>
      </w:r>
    </w:p>
    <w:p w14:paraId="1D989942">
      <w:pPr>
        <w:spacing w:before="153" w:line="299" w:lineRule="auto"/>
        <w:ind w:left="6" w:right="160" w:hanging="6"/>
        <w:rPr>
          <w:rFonts w:ascii="宋体" w:hAnsi="宋体" w:eastAsia="宋体" w:cs="宋体"/>
          <w:sz w:val="24"/>
          <w:szCs w:val="24"/>
        </w:rPr>
      </w:pPr>
      <w:r>
        <w:rPr>
          <w:rFonts w:ascii="Times New Roman" w:hAnsi="Times New Roman" w:eastAsia="Times New Roman" w:cs="Times New Roman"/>
          <w:sz w:val="24"/>
          <w:szCs w:val="24"/>
        </w:rPr>
        <w:t xml:space="preserve">4.1.2    </w:t>
      </w:r>
      <w:r>
        <w:rPr>
          <w:rFonts w:ascii="宋体" w:hAnsi="宋体" w:eastAsia="宋体" w:cs="宋体"/>
          <w:sz w:val="24"/>
          <w:szCs w:val="24"/>
        </w:rPr>
        <w:t>安装在建筑各部位的光伏组件，包括直接构成建筑围护结构的光伏</w:t>
      </w:r>
      <w:r>
        <w:rPr>
          <w:rFonts w:ascii="宋体" w:hAnsi="宋体" w:eastAsia="宋体" w:cs="宋体"/>
          <w:spacing w:val="-1"/>
          <w:sz w:val="24"/>
          <w:szCs w:val="24"/>
        </w:rPr>
        <w:t>构件，应具</w:t>
      </w:r>
      <w:r>
        <w:rPr>
          <w:rFonts w:ascii="宋体" w:hAnsi="宋体" w:eastAsia="宋体" w:cs="宋体"/>
          <w:sz w:val="24"/>
          <w:szCs w:val="24"/>
        </w:rPr>
        <w:t xml:space="preserve"> 有带电警告标识及相应的电气安全防护措施，并应满足该</w:t>
      </w:r>
      <w:r>
        <w:rPr>
          <w:rFonts w:ascii="宋体" w:hAnsi="宋体" w:eastAsia="宋体" w:cs="宋体"/>
          <w:spacing w:val="-1"/>
          <w:sz w:val="24"/>
          <w:szCs w:val="24"/>
        </w:rPr>
        <w:t>部位建筑围护、建筑节能、</w:t>
      </w:r>
      <w:r>
        <w:rPr>
          <w:rFonts w:ascii="宋体" w:hAnsi="宋体" w:eastAsia="宋体" w:cs="宋体"/>
          <w:sz w:val="24"/>
          <w:szCs w:val="24"/>
        </w:rPr>
        <w:t xml:space="preserve"> </w:t>
      </w:r>
      <w:r>
        <w:rPr>
          <w:rFonts w:ascii="宋体" w:hAnsi="宋体" w:eastAsia="宋体" w:cs="宋体"/>
          <w:spacing w:val="-4"/>
          <w:sz w:val="24"/>
          <w:szCs w:val="24"/>
        </w:rPr>
        <w:t>结构安全和电气安全要求。</w:t>
      </w:r>
    </w:p>
    <w:p w14:paraId="50A4B4B3">
      <w:pPr>
        <w:spacing w:before="154" w:line="299" w:lineRule="auto"/>
        <w:ind w:left="5" w:right="160" w:hanging="5"/>
        <w:rPr>
          <w:rFonts w:ascii="宋体" w:hAnsi="宋体" w:eastAsia="宋体" w:cs="宋体"/>
          <w:sz w:val="24"/>
          <w:szCs w:val="24"/>
        </w:rPr>
      </w:pPr>
      <w:r>
        <w:rPr>
          <w:rFonts w:ascii="Times New Roman" w:hAnsi="Times New Roman" w:eastAsia="Times New Roman" w:cs="Times New Roman"/>
          <w:sz w:val="24"/>
          <w:szCs w:val="24"/>
        </w:rPr>
        <w:t xml:space="preserve">4.1.3    </w:t>
      </w:r>
      <w:r>
        <w:rPr>
          <w:rFonts w:ascii="宋体" w:hAnsi="宋体" w:eastAsia="宋体" w:cs="宋体"/>
          <w:sz w:val="24"/>
          <w:szCs w:val="24"/>
        </w:rPr>
        <w:t>在既有建筑上增设或改造光伏系统，必须进行建筑结构安全、建筑</w:t>
      </w:r>
      <w:r>
        <w:rPr>
          <w:rFonts w:ascii="宋体" w:hAnsi="宋体" w:eastAsia="宋体" w:cs="宋体"/>
          <w:spacing w:val="-1"/>
          <w:sz w:val="24"/>
          <w:szCs w:val="24"/>
        </w:rPr>
        <w:t>电气安全的</w:t>
      </w:r>
      <w:r>
        <w:rPr>
          <w:rFonts w:ascii="宋体" w:hAnsi="宋体" w:eastAsia="宋体" w:cs="宋体"/>
          <w:sz w:val="24"/>
          <w:szCs w:val="24"/>
        </w:rPr>
        <w:t xml:space="preserve"> 复核，并应满足光伏组件所在建筑部位的防火、防雷、防静</w:t>
      </w:r>
      <w:r>
        <w:rPr>
          <w:rFonts w:ascii="宋体" w:hAnsi="宋体" w:eastAsia="宋体" w:cs="宋体"/>
          <w:spacing w:val="-1"/>
          <w:sz w:val="24"/>
          <w:szCs w:val="24"/>
        </w:rPr>
        <w:t>电等相关功能要求和建筑</w:t>
      </w:r>
      <w:r>
        <w:rPr>
          <w:rFonts w:ascii="宋体" w:hAnsi="宋体" w:eastAsia="宋体" w:cs="宋体"/>
          <w:sz w:val="24"/>
          <w:szCs w:val="24"/>
        </w:rPr>
        <w:t xml:space="preserve"> </w:t>
      </w:r>
      <w:r>
        <w:rPr>
          <w:rFonts w:ascii="宋体" w:hAnsi="宋体" w:eastAsia="宋体" w:cs="宋体"/>
          <w:spacing w:val="-8"/>
          <w:sz w:val="24"/>
          <w:szCs w:val="24"/>
        </w:rPr>
        <w:t>节能要求。</w:t>
      </w:r>
    </w:p>
    <w:p w14:paraId="74AA06CD">
      <w:pPr>
        <w:spacing w:before="153" w:line="219"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5.1.5    </w:t>
      </w:r>
      <w:r>
        <w:rPr>
          <w:rFonts w:ascii="宋体" w:hAnsi="宋体" w:eastAsia="宋体" w:cs="宋体"/>
          <w:spacing w:val="-2"/>
          <w:sz w:val="24"/>
          <w:szCs w:val="24"/>
        </w:rPr>
        <w:t>施工安装人员应采取防触电措施，并应符合下列规定：</w:t>
      </w:r>
    </w:p>
    <w:p w14:paraId="523E03CF">
      <w:pPr>
        <w:spacing w:before="156" w:line="220" w:lineRule="auto"/>
        <w:ind w:left="504"/>
        <w:rPr>
          <w:rFonts w:ascii="宋体" w:hAnsi="宋体" w:eastAsia="宋体" w:cs="宋体"/>
          <w:sz w:val="24"/>
          <w:szCs w:val="24"/>
        </w:rPr>
      </w:pP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应穿绝缘鞋、戴低压绝缘手套、使用绝缘工具；</w:t>
      </w:r>
    </w:p>
    <w:p w14:paraId="20F0ADCE">
      <w:pPr>
        <w:spacing w:before="153" w:line="219" w:lineRule="auto"/>
        <w:ind w:left="481"/>
        <w:rPr>
          <w:rFonts w:ascii="宋体" w:hAnsi="宋体" w:eastAsia="宋体" w:cs="宋体"/>
          <w:sz w:val="24"/>
          <w:szCs w:val="24"/>
        </w:rPr>
      </w:pPr>
      <w:r>
        <w:rPr>
          <w:rFonts w:ascii="Times New Roman" w:hAnsi="Times New Roman" w:eastAsia="Times New Roman" w:cs="Times New Roman"/>
          <w:spacing w:val="-2"/>
          <w:sz w:val="24"/>
          <w:szCs w:val="24"/>
        </w:rPr>
        <w:t xml:space="preserve">2  </w:t>
      </w:r>
      <w:r>
        <w:rPr>
          <w:rFonts w:ascii="宋体" w:hAnsi="宋体" w:eastAsia="宋体" w:cs="宋体"/>
          <w:spacing w:val="-2"/>
          <w:sz w:val="24"/>
          <w:szCs w:val="24"/>
        </w:rPr>
        <w:t>当光伏系统安装位置上空有架空电线时，应采取保护和隔离措施；</w:t>
      </w:r>
    </w:p>
    <w:p w14:paraId="50FA985E">
      <w:pPr>
        <w:spacing w:before="157" w:line="220" w:lineRule="auto"/>
        <w:ind w:left="485"/>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不应在雨、雪大风天作业。</w:t>
      </w:r>
    </w:p>
    <w:p w14:paraId="307EB038">
      <w:pPr>
        <w:spacing w:before="201" w:line="225" w:lineRule="auto"/>
        <w:ind w:left="14"/>
        <w:outlineLvl w:val="2"/>
        <w:rPr>
          <w:rFonts w:ascii="宋体" w:hAnsi="宋体" w:eastAsia="宋体" w:cs="宋体"/>
          <w:sz w:val="27"/>
          <w:szCs w:val="27"/>
        </w:rPr>
      </w:pPr>
      <w:bookmarkStart w:id="89" w:name="bookmark135"/>
      <w:bookmarkEnd w:id="89"/>
      <w:r>
        <w:rPr>
          <w:rFonts w:ascii="Times New Roman" w:hAnsi="Times New Roman" w:eastAsia="Times New Roman" w:cs="Times New Roman"/>
          <w:b/>
          <w:bCs/>
          <w:spacing w:val="6"/>
          <w:sz w:val="27"/>
          <w:szCs w:val="27"/>
        </w:rPr>
        <w:t>13.</w:t>
      </w:r>
      <w:r>
        <w:rPr>
          <w:rFonts w:ascii="Times New Roman" w:hAnsi="Times New Roman" w:eastAsia="Times New Roman" w:cs="Times New Roman"/>
          <w:b/>
          <w:bCs/>
          <w:spacing w:val="-40"/>
          <w:sz w:val="27"/>
          <w:szCs w:val="27"/>
        </w:rPr>
        <w:t xml:space="preserve"> </w:t>
      </w:r>
      <w:r>
        <w:rPr>
          <w:rFonts w:ascii="宋体" w:hAnsi="宋体" w:eastAsia="宋体" w:cs="宋体"/>
          <w:b/>
          <w:bCs/>
          <w:spacing w:val="6"/>
          <w:sz w:val="27"/>
          <w:szCs w:val="27"/>
        </w:rPr>
        <w:t>《采光顶与金属屋面技术规程》——</w:t>
      </w:r>
      <w:r>
        <w:rPr>
          <w:rFonts w:ascii="Times New Roman" w:hAnsi="Times New Roman" w:eastAsia="Times New Roman" w:cs="Times New Roman"/>
          <w:b/>
          <w:bCs/>
          <w:sz w:val="27"/>
          <w:szCs w:val="27"/>
        </w:rPr>
        <w:t>JGJ</w:t>
      </w:r>
      <w:r>
        <w:rPr>
          <w:rFonts w:ascii="Times New Roman" w:hAnsi="Times New Roman" w:eastAsia="Times New Roman" w:cs="Times New Roman"/>
          <w:b/>
          <w:bCs/>
          <w:spacing w:val="6"/>
          <w:sz w:val="27"/>
          <w:szCs w:val="27"/>
        </w:rPr>
        <w:t>255-2012</w:t>
      </w:r>
      <w:r>
        <w:rPr>
          <w:rFonts w:ascii="宋体" w:hAnsi="宋体" w:eastAsia="宋体" w:cs="宋体"/>
          <w:b/>
          <w:bCs/>
          <w:spacing w:val="6"/>
          <w:sz w:val="27"/>
          <w:szCs w:val="27"/>
        </w:rPr>
        <w:t>【部分强条已废】</w:t>
      </w:r>
    </w:p>
    <w:p w14:paraId="749F7F02">
      <w:pPr>
        <w:spacing w:before="287"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GB55015-2021 </w:t>
      </w:r>
      <w:r>
        <w:rPr>
          <w:rFonts w:ascii="宋体" w:hAnsi="宋体" w:eastAsia="宋体" w:cs="宋体"/>
          <w:b/>
          <w:bCs/>
          <w:color w:val="0563C1"/>
          <w:spacing w:val="-2"/>
          <w:sz w:val="24"/>
          <w:szCs w:val="24"/>
          <w:u w:val="single" w:color="auto"/>
        </w:rPr>
        <w:t>建筑节能与可再生能源利用通用规范</w:t>
      </w:r>
      <w:r>
        <w:rPr>
          <w:rFonts w:ascii="宋体" w:hAnsi="宋体" w:eastAsia="宋体" w:cs="宋体"/>
          <w:b/>
          <w:bCs/>
          <w:color w:val="EE0000"/>
          <w:spacing w:val="-2"/>
          <w:sz w:val="24"/>
          <w:szCs w:val="24"/>
        </w:rPr>
        <w:t>》替代</w:t>
      </w:r>
    </w:p>
    <w:p w14:paraId="6966DC12">
      <w:pPr>
        <w:spacing w:before="154" w:line="219" w:lineRule="auto"/>
        <w:rPr>
          <w:rFonts w:ascii="宋体" w:hAnsi="宋体" w:eastAsia="宋体" w:cs="宋体"/>
          <w:sz w:val="24"/>
          <w:szCs w:val="24"/>
        </w:rPr>
      </w:pPr>
      <w:r>
        <w:rPr>
          <w:rFonts w:ascii="Times New Roman" w:hAnsi="Times New Roman" w:eastAsia="Times New Roman" w:cs="Times New Roman"/>
          <w:b/>
          <w:bCs/>
          <w:color w:val="EE0000"/>
          <w:spacing w:val="-2"/>
          <w:sz w:val="24"/>
          <w:szCs w:val="24"/>
        </w:rPr>
        <w:t xml:space="preserve">3.1.6    </w:t>
      </w:r>
      <w:r>
        <w:rPr>
          <w:rFonts w:ascii="宋体" w:hAnsi="宋体" w:eastAsia="宋体" w:cs="宋体"/>
          <w:b/>
          <w:bCs/>
          <w:color w:val="EE0000"/>
          <w:spacing w:val="-2"/>
          <w:sz w:val="24"/>
          <w:szCs w:val="24"/>
        </w:rPr>
        <w:t>采光顶与金属屋面工程的隔热、保温材料，应采用不燃性或难燃性材</w:t>
      </w:r>
      <w:r>
        <w:rPr>
          <w:rFonts w:ascii="宋体" w:hAnsi="宋体" w:eastAsia="宋体" w:cs="宋体"/>
          <w:b/>
          <w:bCs/>
          <w:color w:val="EE0000"/>
          <w:spacing w:val="-3"/>
          <w:sz w:val="24"/>
          <w:szCs w:val="24"/>
        </w:rPr>
        <w:t>料。</w:t>
      </w:r>
    </w:p>
    <w:p w14:paraId="147FD1A1">
      <w:pPr>
        <w:spacing w:before="155" w:line="279" w:lineRule="auto"/>
        <w:ind w:left="10" w:hanging="10"/>
        <w:rPr>
          <w:rFonts w:ascii="宋体" w:hAnsi="宋体" w:eastAsia="宋体" w:cs="宋体"/>
          <w:sz w:val="24"/>
          <w:szCs w:val="24"/>
        </w:rPr>
      </w:pPr>
      <w:r>
        <w:rPr>
          <w:rFonts w:ascii="Times New Roman" w:hAnsi="Times New Roman" w:eastAsia="Times New Roman" w:cs="Times New Roman"/>
          <w:strike/>
          <w:sz w:val="24"/>
          <w:szCs w:val="24"/>
        </w:rPr>
        <w:t xml:space="preserve">4.5.1    </w:t>
      </w:r>
      <w:r>
        <w:rPr>
          <w:rFonts w:ascii="宋体" w:hAnsi="宋体" w:eastAsia="宋体" w:cs="宋体"/>
          <w:strike/>
          <w:sz w:val="24"/>
          <w:szCs w:val="24"/>
        </w:rPr>
        <w:t>有热工性能要求时，公共建筑金属屋面的传热系数和采光顶的传热</w:t>
      </w:r>
      <w:r>
        <w:rPr>
          <w:rFonts w:ascii="宋体" w:hAnsi="宋体" w:eastAsia="宋体" w:cs="宋体"/>
          <w:strike/>
          <w:spacing w:val="-1"/>
          <w:sz w:val="24"/>
          <w:szCs w:val="24"/>
        </w:rPr>
        <w:t>系数、遮阳</w:t>
      </w:r>
      <w:r>
        <w:rPr>
          <w:rFonts w:ascii="宋体" w:hAnsi="宋体" w:eastAsia="宋体" w:cs="宋体"/>
          <w:sz w:val="24"/>
          <w:szCs w:val="24"/>
        </w:rPr>
        <w:t xml:space="preserve">  </w:t>
      </w:r>
      <w:r>
        <w:rPr>
          <w:rFonts w:ascii="宋体" w:hAnsi="宋体" w:eastAsia="宋体" w:cs="宋体"/>
          <w:strike/>
          <w:spacing w:val="-2"/>
          <w:sz w:val="24"/>
          <w:szCs w:val="24"/>
        </w:rPr>
        <w:t>系数应符合表</w:t>
      </w:r>
      <w:r>
        <w:rPr>
          <w:rFonts w:ascii="宋体" w:hAnsi="宋体" w:eastAsia="宋体" w:cs="宋体"/>
          <w:strike/>
          <w:spacing w:val="-47"/>
          <w:sz w:val="24"/>
          <w:szCs w:val="24"/>
        </w:rPr>
        <w:t xml:space="preserve"> </w:t>
      </w:r>
      <w:r>
        <w:rPr>
          <w:rFonts w:ascii="Times New Roman" w:hAnsi="Times New Roman" w:eastAsia="Times New Roman" w:cs="Times New Roman"/>
          <w:strike/>
          <w:spacing w:val="-2"/>
          <w:sz w:val="24"/>
          <w:szCs w:val="24"/>
        </w:rPr>
        <w:t>4</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5</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1-1</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的规定，居住建筑金属屋面的传热系数应符合表</w:t>
      </w:r>
      <w:r>
        <w:rPr>
          <w:rFonts w:ascii="宋体" w:hAnsi="宋体" w:eastAsia="宋体" w:cs="宋体"/>
          <w:strike/>
          <w:spacing w:val="-56"/>
          <w:sz w:val="24"/>
          <w:szCs w:val="24"/>
        </w:rPr>
        <w:t xml:space="preserve"> </w:t>
      </w:r>
      <w:r>
        <w:rPr>
          <w:rFonts w:ascii="Times New Roman" w:hAnsi="Times New Roman" w:eastAsia="Times New Roman" w:cs="Times New Roman"/>
          <w:strike/>
          <w:spacing w:val="-2"/>
          <w:sz w:val="24"/>
          <w:szCs w:val="24"/>
        </w:rPr>
        <w:t>4</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5</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1-2</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的规定。</w:t>
      </w:r>
    </w:p>
    <w:p w14:paraId="3D3772F8">
      <w:pPr>
        <w:spacing w:before="181" w:line="219" w:lineRule="auto"/>
        <w:ind w:left="1065"/>
        <w:rPr>
          <w:rFonts w:ascii="宋体" w:hAnsi="宋体" w:eastAsia="宋体" w:cs="宋体"/>
          <w:sz w:val="21"/>
          <w:szCs w:val="21"/>
        </w:rPr>
      </w:pPr>
      <w:r>
        <w:rPr>
          <w:rFonts w:ascii="宋体" w:hAnsi="宋体" w:eastAsia="宋体" w:cs="宋体"/>
          <w:strike/>
          <w:sz w:val="21"/>
          <w:szCs w:val="21"/>
        </w:rPr>
        <w:t>表</w:t>
      </w:r>
      <w:r>
        <w:rPr>
          <w:rFonts w:ascii="宋体" w:hAnsi="宋体" w:eastAsia="宋体" w:cs="宋体"/>
          <w:strike/>
          <w:spacing w:val="-49"/>
          <w:sz w:val="21"/>
          <w:szCs w:val="21"/>
        </w:rPr>
        <w:t xml:space="preserve"> </w:t>
      </w:r>
      <w:r>
        <w:rPr>
          <w:rFonts w:ascii="Times New Roman" w:hAnsi="Times New Roman" w:eastAsia="Times New Roman" w:cs="Times New Roman"/>
          <w:strike/>
          <w:sz w:val="21"/>
          <w:szCs w:val="21"/>
        </w:rPr>
        <w:t xml:space="preserve">4.5.1-1    </w:t>
      </w:r>
      <w:r>
        <w:rPr>
          <w:rFonts w:ascii="宋体" w:hAnsi="宋体" w:eastAsia="宋体" w:cs="宋体"/>
          <w:strike/>
          <w:sz w:val="21"/>
          <w:szCs w:val="21"/>
        </w:rPr>
        <w:t>公共建筑金属屋面传热系数和采光</w:t>
      </w:r>
      <w:r>
        <w:rPr>
          <w:rFonts w:ascii="宋体" w:hAnsi="宋体" w:eastAsia="宋体" w:cs="宋体"/>
          <w:strike/>
          <w:spacing w:val="-1"/>
          <w:sz w:val="21"/>
          <w:szCs w:val="21"/>
        </w:rPr>
        <w:t>顶的传热系数、遮阳系数限值</w:t>
      </w:r>
    </w:p>
    <w:p w14:paraId="17C6C743">
      <w:pPr>
        <w:spacing w:line="19" w:lineRule="exact"/>
      </w:pPr>
    </w:p>
    <w:tbl>
      <w:tblPr>
        <w:tblStyle w:val="5"/>
        <w:tblW w:w="8526"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6"/>
        <w:gridCol w:w="1701"/>
        <w:gridCol w:w="1702"/>
        <w:gridCol w:w="381"/>
        <w:gridCol w:w="1329"/>
        <w:gridCol w:w="1707"/>
      </w:tblGrid>
      <w:tr w14:paraId="34486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trPr>
        <w:tc>
          <w:tcPr>
            <w:tcW w:w="1706" w:type="dxa"/>
            <w:vMerge w:val="restart"/>
            <w:tcBorders>
              <w:bottom w:val="nil"/>
            </w:tcBorders>
            <w:vAlign w:val="top"/>
          </w:tcPr>
          <w:p w14:paraId="1FB0C070">
            <w:pPr>
              <w:pStyle w:val="6"/>
              <w:spacing w:before="297" w:line="220" w:lineRule="auto"/>
              <w:ind w:left="458"/>
            </w:pPr>
            <w:r>
              <w:rPr>
                <w:strike/>
                <w:spacing w:val="-6"/>
              </w:rPr>
              <w:t>围护结构</w:t>
            </w:r>
          </w:p>
        </w:tc>
        <w:tc>
          <w:tcPr>
            <w:tcW w:w="1701" w:type="dxa"/>
            <w:vMerge w:val="restart"/>
            <w:tcBorders>
              <w:bottom w:val="nil"/>
            </w:tcBorders>
            <w:vAlign w:val="top"/>
          </w:tcPr>
          <w:p w14:paraId="5BF6E80F">
            <w:pPr>
              <w:pStyle w:val="6"/>
              <w:spacing w:before="297" w:line="220" w:lineRule="auto"/>
              <w:ind w:left="663"/>
            </w:pPr>
            <w:r>
              <w:rPr>
                <w:strike/>
                <w:spacing w:val="-6"/>
              </w:rPr>
              <w:t>区域</w:t>
            </w:r>
          </w:p>
        </w:tc>
        <w:tc>
          <w:tcPr>
            <w:tcW w:w="1702" w:type="dxa"/>
            <w:vMerge w:val="restart"/>
            <w:tcBorders>
              <w:bottom w:val="nil"/>
              <w:right w:val="nil"/>
            </w:tcBorders>
            <w:vAlign w:val="top"/>
          </w:tcPr>
          <w:p w14:paraId="1754A23E">
            <w:pPr>
              <w:rPr>
                <w:rFonts w:ascii="Arial"/>
                <w:sz w:val="21"/>
              </w:rPr>
            </w:pPr>
            <w:r>
              <w:pict>
                <v:shape id="_x0000_s1127" o:spid="_x0000_s1127" o:spt="202" type="#_x0000_t202" style="position:absolute;left:0pt;margin-left:35.45pt;margin-top:4.85pt;height:14.1pt;width:71.65pt;mso-position-horizontal-relative:page;mso-position-vertical-relative:page;z-index:251691008;mso-width-relative:page;mso-height-relative:page;" filled="f" stroked="f" coordsize="21600,21600">
                  <v:path/>
                  <v:fill on="f" focussize="0,0"/>
                  <v:stroke on="f"/>
                  <v:imagedata o:title=""/>
                  <o:lock v:ext="edit" aspectratio="f"/>
                  <v:textbox inset="0mm,0mm,0mm,0mm">
                    <w:txbxContent>
                      <w:p w14:paraId="29830054">
                        <w:pPr>
                          <w:pStyle w:val="6"/>
                          <w:spacing w:before="20" w:line="212" w:lineRule="auto"/>
                          <w:ind w:left="20"/>
                          <w:rPr>
                            <w:rFonts w:ascii="Times New Roman" w:hAnsi="Times New Roman" w:eastAsia="Times New Roman" w:cs="Times New Roman"/>
                          </w:rPr>
                        </w:pPr>
                        <w:r>
                          <w:rPr>
                            <w:strike/>
                            <w:spacing w:val="-1"/>
                          </w:rPr>
                          <w:t>传热系数</w:t>
                        </w:r>
                        <w:r>
                          <w:rPr>
                            <w:rFonts w:ascii="Times New Roman" w:hAnsi="Times New Roman" w:eastAsia="Times New Roman" w:cs="Times New Roman"/>
                            <w:spacing w:val="-1"/>
                          </w:rPr>
                          <w:t>[W/(m</w:t>
                        </w:r>
                      </w:p>
                    </w:txbxContent>
                  </v:textbox>
                </v:shape>
              </w:pict>
            </w:r>
          </w:p>
        </w:tc>
        <w:tc>
          <w:tcPr>
            <w:tcW w:w="381" w:type="dxa"/>
            <w:tcBorders>
              <w:left w:val="nil"/>
              <w:bottom w:val="single" w:color="000000" w:sz="4" w:space="0"/>
              <w:right w:val="nil"/>
            </w:tcBorders>
            <w:vAlign w:val="top"/>
          </w:tcPr>
          <w:p w14:paraId="7A3A1DE8">
            <w:pPr>
              <w:spacing w:line="233" w:lineRule="exact"/>
              <w:rPr>
                <w:rFonts w:ascii="Arial"/>
                <w:sz w:val="20"/>
              </w:rPr>
            </w:pPr>
          </w:p>
        </w:tc>
        <w:tc>
          <w:tcPr>
            <w:tcW w:w="1329" w:type="dxa"/>
            <w:vMerge w:val="restart"/>
            <w:tcBorders>
              <w:left w:val="nil"/>
              <w:bottom w:val="nil"/>
            </w:tcBorders>
            <w:vAlign w:val="top"/>
          </w:tcPr>
          <w:p w14:paraId="52C17884">
            <w:pPr>
              <w:pStyle w:val="6"/>
              <w:spacing w:before="112" w:line="212" w:lineRule="auto"/>
              <w:ind w:left="41"/>
              <w:rPr>
                <w:rFonts w:ascii="Times New Roman" w:hAnsi="Times New Roman" w:eastAsia="Times New Roman" w:cs="Times New Roman"/>
              </w:rPr>
            </w:pPr>
            <w:r>
              <w:rPr>
                <w:rFonts w:ascii="Times New Roman" w:hAnsi="Times New Roman" w:eastAsia="Times New Roman" w:cs="Times New Roman"/>
                <w:strike/>
                <w:spacing w:val="-3"/>
                <w:position w:val="7"/>
                <w:sz w:val="14"/>
                <w:szCs w:val="14"/>
              </w:rPr>
              <w:t>2</w:t>
            </w:r>
            <w:r>
              <w:rPr>
                <w:rFonts w:ascii="Times New Roman" w:hAnsi="Times New Roman" w:eastAsia="Times New Roman" w:cs="Times New Roman"/>
                <w:strike/>
                <w:spacing w:val="6"/>
                <w:position w:val="7"/>
                <w:sz w:val="14"/>
                <w:szCs w:val="14"/>
              </w:rPr>
              <w:t xml:space="preserve">  </w:t>
            </w:r>
            <w:r>
              <w:rPr>
                <w:strike/>
                <w:spacing w:val="-21"/>
              </w:rPr>
              <w:t>·</w:t>
            </w:r>
            <w:r>
              <w:rPr>
                <w:rFonts w:ascii="Times New Roman" w:hAnsi="Times New Roman" w:eastAsia="Times New Roman" w:cs="Times New Roman"/>
                <w:strike/>
                <w:spacing w:val="-21"/>
              </w:rPr>
              <w:t>K)]</w:t>
            </w:r>
          </w:p>
        </w:tc>
        <w:tc>
          <w:tcPr>
            <w:tcW w:w="1707" w:type="dxa"/>
            <w:vMerge w:val="restart"/>
            <w:tcBorders>
              <w:bottom w:val="nil"/>
            </w:tcBorders>
            <w:vAlign w:val="top"/>
          </w:tcPr>
          <w:p w14:paraId="7717ADF4">
            <w:pPr>
              <w:pStyle w:val="6"/>
              <w:spacing w:before="296" w:line="220" w:lineRule="auto"/>
              <w:ind w:left="282"/>
              <w:rPr>
                <w:rFonts w:ascii="Times New Roman" w:hAnsi="Times New Roman" w:eastAsia="Times New Roman" w:cs="Times New Roman"/>
              </w:rPr>
            </w:pPr>
            <w:r>
              <w:rPr>
                <w:strike/>
                <w:spacing w:val="-3"/>
              </w:rPr>
              <w:t>遮阳系数</w:t>
            </w:r>
            <w:r>
              <w:rPr>
                <w:strike/>
                <w:spacing w:val="-36"/>
              </w:rPr>
              <w:t xml:space="preserve"> </w:t>
            </w:r>
            <w:r>
              <w:rPr>
                <w:rFonts w:ascii="Times New Roman" w:hAnsi="Times New Roman" w:eastAsia="Times New Roman" w:cs="Times New Roman"/>
                <w:strike/>
                <w:spacing w:val="-3"/>
              </w:rPr>
              <w:t>SC</w:t>
            </w:r>
          </w:p>
        </w:tc>
      </w:tr>
      <w:tr w14:paraId="7CDF4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 w:hRule="atLeast"/>
        </w:trPr>
        <w:tc>
          <w:tcPr>
            <w:tcW w:w="1706" w:type="dxa"/>
            <w:vMerge w:val="continue"/>
            <w:tcBorders>
              <w:top w:val="nil"/>
              <w:bottom w:val="nil"/>
            </w:tcBorders>
            <w:vAlign w:val="top"/>
          </w:tcPr>
          <w:p w14:paraId="2697D1B4">
            <w:pPr>
              <w:rPr>
                <w:rFonts w:ascii="Arial"/>
                <w:sz w:val="21"/>
              </w:rPr>
            </w:pPr>
          </w:p>
        </w:tc>
        <w:tc>
          <w:tcPr>
            <w:tcW w:w="1701" w:type="dxa"/>
            <w:vMerge w:val="continue"/>
            <w:tcBorders>
              <w:top w:val="nil"/>
              <w:bottom w:val="nil"/>
            </w:tcBorders>
            <w:vAlign w:val="top"/>
          </w:tcPr>
          <w:p w14:paraId="33D0B83C">
            <w:pPr>
              <w:rPr>
                <w:rFonts w:ascii="Arial"/>
                <w:sz w:val="21"/>
              </w:rPr>
            </w:pPr>
          </w:p>
        </w:tc>
        <w:tc>
          <w:tcPr>
            <w:tcW w:w="1702" w:type="dxa"/>
            <w:vMerge w:val="continue"/>
            <w:tcBorders>
              <w:top w:val="nil"/>
              <w:right w:val="nil"/>
            </w:tcBorders>
            <w:vAlign w:val="top"/>
          </w:tcPr>
          <w:p w14:paraId="32E69AB5">
            <w:pPr>
              <w:rPr>
                <w:rFonts w:ascii="Arial"/>
                <w:sz w:val="21"/>
              </w:rPr>
            </w:pPr>
          </w:p>
        </w:tc>
        <w:tc>
          <w:tcPr>
            <w:tcW w:w="381" w:type="dxa"/>
            <w:tcBorders>
              <w:top w:val="single" w:color="000000" w:sz="4" w:space="0"/>
              <w:left w:val="nil"/>
              <w:right w:val="nil"/>
            </w:tcBorders>
            <w:vAlign w:val="top"/>
          </w:tcPr>
          <w:p w14:paraId="18F7C80E">
            <w:pPr>
              <w:spacing w:line="105" w:lineRule="exact"/>
              <w:rPr>
                <w:rFonts w:ascii="Arial"/>
                <w:sz w:val="9"/>
              </w:rPr>
            </w:pPr>
          </w:p>
        </w:tc>
        <w:tc>
          <w:tcPr>
            <w:tcW w:w="1329" w:type="dxa"/>
            <w:vMerge w:val="continue"/>
            <w:tcBorders>
              <w:top w:val="nil"/>
              <w:left w:val="nil"/>
            </w:tcBorders>
            <w:vAlign w:val="top"/>
          </w:tcPr>
          <w:p w14:paraId="5FAE82FD">
            <w:pPr>
              <w:rPr>
                <w:rFonts w:ascii="Arial"/>
                <w:sz w:val="21"/>
              </w:rPr>
            </w:pPr>
          </w:p>
        </w:tc>
        <w:tc>
          <w:tcPr>
            <w:tcW w:w="1707" w:type="dxa"/>
            <w:vMerge w:val="continue"/>
            <w:tcBorders>
              <w:top w:val="nil"/>
              <w:bottom w:val="nil"/>
            </w:tcBorders>
            <w:vAlign w:val="top"/>
          </w:tcPr>
          <w:p w14:paraId="7C5E73A7">
            <w:pPr>
              <w:rPr>
                <w:rFonts w:ascii="Arial"/>
                <w:sz w:val="21"/>
              </w:rPr>
            </w:pPr>
          </w:p>
        </w:tc>
      </w:tr>
      <w:tr w14:paraId="6660C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706" w:type="dxa"/>
            <w:vMerge w:val="continue"/>
            <w:tcBorders>
              <w:top w:val="nil"/>
            </w:tcBorders>
            <w:vAlign w:val="top"/>
          </w:tcPr>
          <w:p w14:paraId="6B14F43A">
            <w:pPr>
              <w:rPr>
                <w:rFonts w:ascii="Arial"/>
                <w:sz w:val="21"/>
              </w:rPr>
            </w:pPr>
          </w:p>
        </w:tc>
        <w:tc>
          <w:tcPr>
            <w:tcW w:w="1701" w:type="dxa"/>
            <w:vMerge w:val="continue"/>
            <w:tcBorders>
              <w:top w:val="nil"/>
            </w:tcBorders>
            <w:vAlign w:val="top"/>
          </w:tcPr>
          <w:p w14:paraId="4F9343E7">
            <w:pPr>
              <w:rPr>
                <w:rFonts w:ascii="Arial"/>
                <w:sz w:val="21"/>
              </w:rPr>
            </w:pPr>
          </w:p>
        </w:tc>
        <w:tc>
          <w:tcPr>
            <w:tcW w:w="1702" w:type="dxa"/>
            <w:vAlign w:val="top"/>
          </w:tcPr>
          <w:p w14:paraId="0F11065E">
            <w:pPr>
              <w:pStyle w:val="6"/>
              <w:spacing w:before="108" w:line="216" w:lineRule="auto"/>
              <w:ind w:left="204"/>
              <w:rPr>
                <w:rFonts w:ascii="Times New Roman" w:hAnsi="Times New Roman" w:eastAsia="Times New Roman" w:cs="Times New Roman"/>
              </w:rPr>
            </w:pPr>
            <w:r>
              <w:rPr>
                <w:strike/>
                <w:spacing w:val="-2"/>
              </w:rPr>
              <w:t>体形系数≤</w:t>
            </w:r>
            <w:r>
              <w:rPr>
                <w:rFonts w:ascii="Times New Roman" w:hAnsi="Times New Roman" w:eastAsia="Times New Roman" w:cs="Times New Roman"/>
                <w:strike/>
                <w:spacing w:val="-2"/>
              </w:rPr>
              <w:t>0.4</w:t>
            </w:r>
          </w:p>
        </w:tc>
        <w:tc>
          <w:tcPr>
            <w:tcW w:w="1710" w:type="dxa"/>
            <w:gridSpan w:val="2"/>
            <w:vAlign w:val="top"/>
          </w:tcPr>
          <w:p w14:paraId="18C6DBB6">
            <w:pPr>
              <w:pStyle w:val="6"/>
              <w:spacing w:before="108" w:line="216" w:lineRule="auto"/>
              <w:ind w:left="207"/>
              <w:rPr>
                <w:rFonts w:ascii="Times New Roman" w:hAnsi="Times New Roman" w:eastAsia="Times New Roman" w:cs="Times New Roman"/>
              </w:rPr>
            </w:pPr>
            <w:r>
              <w:rPr>
                <w:strike/>
                <w:spacing w:val="-2"/>
              </w:rPr>
              <w:t>体形系数＞</w:t>
            </w:r>
            <w:r>
              <w:rPr>
                <w:rFonts w:ascii="Times New Roman" w:hAnsi="Times New Roman" w:eastAsia="Times New Roman" w:cs="Times New Roman"/>
                <w:strike/>
                <w:spacing w:val="-2"/>
              </w:rPr>
              <w:t>0.4</w:t>
            </w:r>
          </w:p>
        </w:tc>
        <w:tc>
          <w:tcPr>
            <w:tcW w:w="1707" w:type="dxa"/>
            <w:vMerge w:val="continue"/>
            <w:tcBorders>
              <w:top w:val="nil"/>
            </w:tcBorders>
            <w:vAlign w:val="top"/>
          </w:tcPr>
          <w:p w14:paraId="0BD6C16C">
            <w:pPr>
              <w:rPr>
                <w:rFonts w:ascii="Arial"/>
                <w:sz w:val="21"/>
              </w:rPr>
            </w:pPr>
          </w:p>
        </w:tc>
      </w:tr>
      <w:tr w14:paraId="29E60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706" w:type="dxa"/>
            <w:vMerge w:val="restart"/>
            <w:tcBorders>
              <w:bottom w:val="nil"/>
            </w:tcBorders>
            <w:vAlign w:val="top"/>
          </w:tcPr>
          <w:p w14:paraId="07F66FB7">
            <w:pPr>
              <w:spacing w:line="258" w:lineRule="auto"/>
              <w:rPr>
                <w:rFonts w:ascii="Arial"/>
                <w:sz w:val="21"/>
              </w:rPr>
            </w:pPr>
          </w:p>
          <w:p w14:paraId="06E8C6DC">
            <w:pPr>
              <w:spacing w:line="259" w:lineRule="auto"/>
              <w:rPr>
                <w:rFonts w:ascii="Arial"/>
                <w:sz w:val="21"/>
              </w:rPr>
            </w:pPr>
          </w:p>
          <w:p w14:paraId="32DEE9E0">
            <w:pPr>
              <w:spacing w:line="259" w:lineRule="auto"/>
              <w:rPr>
                <w:rFonts w:ascii="Arial"/>
                <w:sz w:val="21"/>
              </w:rPr>
            </w:pPr>
          </w:p>
          <w:p w14:paraId="2AE08975">
            <w:pPr>
              <w:pStyle w:val="6"/>
              <w:spacing w:before="68" w:line="220" w:lineRule="auto"/>
              <w:ind w:left="441"/>
            </w:pPr>
            <w:r>
              <w:rPr>
                <w:strike/>
                <w:spacing w:val="-2"/>
              </w:rPr>
              <w:t>金属屋面</w:t>
            </w:r>
          </w:p>
        </w:tc>
        <w:tc>
          <w:tcPr>
            <w:tcW w:w="1701" w:type="dxa"/>
            <w:vAlign w:val="top"/>
          </w:tcPr>
          <w:p w14:paraId="3B233AA5">
            <w:pPr>
              <w:pStyle w:val="6"/>
              <w:spacing w:before="109" w:line="216" w:lineRule="auto"/>
              <w:ind w:left="204"/>
            </w:pPr>
            <w:r>
              <w:rPr>
                <w:strike/>
                <w:spacing w:val="-2"/>
              </w:rPr>
              <w:t>严寒地区</w:t>
            </w:r>
            <w:r>
              <w:rPr>
                <w:strike/>
                <w:spacing w:val="-51"/>
              </w:rPr>
              <w:t xml:space="preserve"> </w:t>
            </w:r>
            <w:r>
              <w:rPr>
                <w:rFonts w:ascii="Times New Roman" w:hAnsi="Times New Roman" w:eastAsia="Times New Roman" w:cs="Times New Roman"/>
                <w:strike/>
                <w:spacing w:val="-2"/>
              </w:rPr>
              <w:t>A</w:t>
            </w:r>
            <w:r>
              <w:rPr>
                <w:rFonts w:ascii="Times New Roman" w:hAnsi="Times New Roman" w:eastAsia="Times New Roman" w:cs="Times New Roman"/>
                <w:strike/>
                <w:spacing w:val="24"/>
              </w:rPr>
              <w:t xml:space="preserve"> </w:t>
            </w:r>
            <w:r>
              <w:rPr>
                <w:strike/>
                <w:spacing w:val="-2"/>
              </w:rPr>
              <w:t>区</w:t>
            </w:r>
          </w:p>
        </w:tc>
        <w:tc>
          <w:tcPr>
            <w:tcW w:w="1702" w:type="dxa"/>
            <w:vAlign w:val="top"/>
          </w:tcPr>
          <w:p w14:paraId="5DC34EEA">
            <w:pPr>
              <w:pStyle w:val="6"/>
              <w:spacing w:before="109" w:line="216" w:lineRule="auto"/>
              <w:ind w:left="586"/>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35</w:t>
            </w:r>
          </w:p>
        </w:tc>
        <w:tc>
          <w:tcPr>
            <w:tcW w:w="1710" w:type="dxa"/>
            <w:gridSpan w:val="2"/>
            <w:vAlign w:val="top"/>
          </w:tcPr>
          <w:p w14:paraId="2B6F042A">
            <w:pPr>
              <w:pStyle w:val="6"/>
              <w:spacing w:before="109" w:line="216" w:lineRule="auto"/>
              <w:ind w:left="589"/>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30</w:t>
            </w:r>
          </w:p>
        </w:tc>
        <w:tc>
          <w:tcPr>
            <w:tcW w:w="1707" w:type="dxa"/>
            <w:vAlign w:val="top"/>
          </w:tcPr>
          <w:p w14:paraId="15747A5D">
            <w:pPr>
              <w:pStyle w:val="6"/>
              <w:spacing w:before="209" w:line="8" w:lineRule="exact"/>
              <w:ind w:left="646"/>
            </w:pPr>
            <w:r>
              <w:pict>
                <v:shape id="_x0000_s1128" o:spid="_x0000_s1128" o:spt="202" type="#_x0000_t202" style="position:absolute;left:0pt;margin-left:31pt;margin-top:1.25pt;height:14.1pt;width:23pt;z-index:251685888;mso-width-relative:page;mso-height-relative:page;" filled="f" stroked="f" coordsize="21600,21600">
                  <v:path/>
                  <v:fill on="f" focussize="0,0"/>
                  <v:stroke on="f"/>
                  <v:imagedata o:title=""/>
                  <o:lock v:ext="edit" aspectratio="f"/>
                  <v:textbox inset="0mm,0mm,0mm,0mm">
                    <w:txbxContent>
                      <w:p w14:paraId="528DB84D">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6E12B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706" w:type="dxa"/>
            <w:vMerge w:val="continue"/>
            <w:tcBorders>
              <w:top w:val="nil"/>
              <w:bottom w:val="nil"/>
            </w:tcBorders>
            <w:vAlign w:val="top"/>
          </w:tcPr>
          <w:p w14:paraId="61A2E8D6">
            <w:pPr>
              <w:rPr>
                <w:rFonts w:ascii="Arial"/>
                <w:sz w:val="21"/>
              </w:rPr>
            </w:pPr>
          </w:p>
        </w:tc>
        <w:tc>
          <w:tcPr>
            <w:tcW w:w="1701" w:type="dxa"/>
            <w:vAlign w:val="top"/>
          </w:tcPr>
          <w:p w14:paraId="7CA590BB">
            <w:pPr>
              <w:pStyle w:val="6"/>
              <w:spacing w:before="109" w:line="215" w:lineRule="auto"/>
              <w:ind w:left="210"/>
            </w:pPr>
            <w:r>
              <w:rPr>
                <w:strike/>
                <w:spacing w:val="-3"/>
              </w:rPr>
              <w:t>严寒地区</w:t>
            </w:r>
            <w:r>
              <w:rPr>
                <w:strike/>
                <w:spacing w:val="-45"/>
              </w:rPr>
              <w:t xml:space="preserve"> </w:t>
            </w:r>
            <w:r>
              <w:rPr>
                <w:rFonts w:ascii="Times New Roman" w:hAnsi="Times New Roman" w:eastAsia="Times New Roman" w:cs="Times New Roman"/>
                <w:strike/>
                <w:spacing w:val="-3"/>
              </w:rPr>
              <w:t>B</w:t>
            </w:r>
            <w:r>
              <w:rPr>
                <w:rFonts w:ascii="Times New Roman" w:hAnsi="Times New Roman" w:eastAsia="Times New Roman" w:cs="Times New Roman"/>
                <w:strike/>
                <w:spacing w:val="23"/>
                <w:w w:val="101"/>
              </w:rPr>
              <w:t xml:space="preserve"> </w:t>
            </w:r>
            <w:r>
              <w:rPr>
                <w:strike/>
                <w:spacing w:val="-3"/>
              </w:rPr>
              <w:t>区</w:t>
            </w:r>
          </w:p>
        </w:tc>
        <w:tc>
          <w:tcPr>
            <w:tcW w:w="1702" w:type="dxa"/>
            <w:vAlign w:val="top"/>
          </w:tcPr>
          <w:p w14:paraId="1EC9394C">
            <w:pPr>
              <w:pStyle w:val="6"/>
              <w:spacing w:before="109" w:line="215" w:lineRule="auto"/>
              <w:ind w:left="586"/>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45</w:t>
            </w:r>
          </w:p>
        </w:tc>
        <w:tc>
          <w:tcPr>
            <w:tcW w:w="1710" w:type="dxa"/>
            <w:gridSpan w:val="2"/>
            <w:vAlign w:val="top"/>
          </w:tcPr>
          <w:p w14:paraId="2E78F67A">
            <w:pPr>
              <w:pStyle w:val="6"/>
              <w:spacing w:before="109" w:line="215" w:lineRule="auto"/>
              <w:ind w:left="589"/>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35</w:t>
            </w:r>
          </w:p>
        </w:tc>
        <w:tc>
          <w:tcPr>
            <w:tcW w:w="1707" w:type="dxa"/>
            <w:vAlign w:val="top"/>
          </w:tcPr>
          <w:p w14:paraId="7DD00BB2">
            <w:pPr>
              <w:pStyle w:val="6"/>
              <w:spacing w:before="209" w:line="8" w:lineRule="exact"/>
              <w:ind w:left="646"/>
            </w:pPr>
            <w:r>
              <w:pict>
                <v:shape id="_x0000_s1129" o:spid="_x0000_s1129" o:spt="202" type="#_x0000_t202" style="position:absolute;left:0pt;margin-left:31pt;margin-top:1.2pt;height:14.1pt;width:23pt;z-index:251693056;mso-width-relative:page;mso-height-relative:page;" filled="f" stroked="f" coordsize="21600,21600">
                  <v:path/>
                  <v:fill on="f" focussize="0,0"/>
                  <v:stroke on="f"/>
                  <v:imagedata o:title=""/>
                  <o:lock v:ext="edit" aspectratio="f"/>
                  <v:textbox inset="0mm,0mm,0mm,0mm">
                    <w:txbxContent>
                      <w:p w14:paraId="1B11BD62">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54F5F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706" w:type="dxa"/>
            <w:vMerge w:val="continue"/>
            <w:tcBorders>
              <w:top w:val="nil"/>
              <w:bottom w:val="nil"/>
            </w:tcBorders>
            <w:vAlign w:val="top"/>
          </w:tcPr>
          <w:p w14:paraId="4B14D83F">
            <w:pPr>
              <w:rPr>
                <w:rFonts w:ascii="Arial"/>
                <w:sz w:val="21"/>
              </w:rPr>
            </w:pPr>
          </w:p>
        </w:tc>
        <w:tc>
          <w:tcPr>
            <w:tcW w:w="1701" w:type="dxa"/>
            <w:vAlign w:val="top"/>
          </w:tcPr>
          <w:p w14:paraId="1E742E72">
            <w:pPr>
              <w:pStyle w:val="6"/>
              <w:spacing w:before="109" w:line="215" w:lineRule="auto"/>
              <w:ind w:left="439"/>
            </w:pPr>
            <w:r>
              <w:rPr>
                <w:strike/>
                <w:spacing w:val="-2"/>
              </w:rPr>
              <w:t>寒冷地区</w:t>
            </w:r>
          </w:p>
        </w:tc>
        <w:tc>
          <w:tcPr>
            <w:tcW w:w="1702" w:type="dxa"/>
            <w:vAlign w:val="top"/>
          </w:tcPr>
          <w:p w14:paraId="097D62E5">
            <w:pPr>
              <w:pStyle w:val="6"/>
              <w:spacing w:before="109" w:line="215" w:lineRule="auto"/>
              <w:ind w:left="586"/>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55</w:t>
            </w:r>
          </w:p>
        </w:tc>
        <w:tc>
          <w:tcPr>
            <w:tcW w:w="1710" w:type="dxa"/>
            <w:gridSpan w:val="2"/>
            <w:vAlign w:val="top"/>
          </w:tcPr>
          <w:p w14:paraId="69BBBFB7">
            <w:pPr>
              <w:pStyle w:val="6"/>
              <w:spacing w:before="109" w:line="215" w:lineRule="auto"/>
              <w:ind w:left="589"/>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45</w:t>
            </w:r>
          </w:p>
        </w:tc>
        <w:tc>
          <w:tcPr>
            <w:tcW w:w="1707" w:type="dxa"/>
            <w:vAlign w:val="top"/>
          </w:tcPr>
          <w:p w14:paraId="009D494A">
            <w:pPr>
              <w:pStyle w:val="6"/>
              <w:spacing w:before="209" w:line="8" w:lineRule="exact"/>
              <w:ind w:left="646"/>
            </w:pPr>
            <w:r>
              <w:pict>
                <v:shape id="_x0000_s1130" o:spid="_x0000_s1130" o:spt="202" type="#_x0000_t202" style="position:absolute;left:0pt;margin-left:31pt;margin-top:1.25pt;height:14.1pt;width:23pt;z-index:251692032;mso-width-relative:page;mso-height-relative:page;" filled="f" stroked="f" coordsize="21600,21600">
                  <v:path/>
                  <v:fill on="f" focussize="0,0"/>
                  <v:stroke on="f"/>
                  <v:imagedata o:title=""/>
                  <o:lock v:ext="edit" aspectratio="f"/>
                  <v:textbox inset="0mm,0mm,0mm,0mm">
                    <w:txbxContent>
                      <w:p w14:paraId="039804F1">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6FFCC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706" w:type="dxa"/>
            <w:vMerge w:val="continue"/>
            <w:tcBorders>
              <w:top w:val="nil"/>
              <w:bottom w:val="nil"/>
            </w:tcBorders>
            <w:vAlign w:val="top"/>
          </w:tcPr>
          <w:p w14:paraId="2FCFF1E7">
            <w:pPr>
              <w:rPr>
                <w:rFonts w:ascii="Arial"/>
                <w:sz w:val="21"/>
              </w:rPr>
            </w:pPr>
          </w:p>
        </w:tc>
        <w:tc>
          <w:tcPr>
            <w:tcW w:w="1701" w:type="dxa"/>
            <w:vAlign w:val="top"/>
          </w:tcPr>
          <w:p w14:paraId="62C7F27E">
            <w:pPr>
              <w:pStyle w:val="6"/>
              <w:spacing w:before="111" w:line="214" w:lineRule="auto"/>
              <w:ind w:left="437"/>
            </w:pPr>
            <w:r>
              <w:rPr>
                <w:strike/>
                <w:spacing w:val="-2"/>
              </w:rPr>
              <w:t>夏热冬冷</w:t>
            </w:r>
          </w:p>
        </w:tc>
        <w:tc>
          <w:tcPr>
            <w:tcW w:w="3412" w:type="dxa"/>
            <w:gridSpan w:val="3"/>
            <w:vAlign w:val="top"/>
          </w:tcPr>
          <w:p w14:paraId="5541E44A">
            <w:pPr>
              <w:pStyle w:val="6"/>
              <w:spacing w:before="111" w:line="214" w:lineRule="auto"/>
              <w:ind w:left="1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0.7</w:t>
            </w:r>
          </w:p>
        </w:tc>
        <w:tc>
          <w:tcPr>
            <w:tcW w:w="1707" w:type="dxa"/>
            <w:vAlign w:val="top"/>
          </w:tcPr>
          <w:p w14:paraId="55C7880B">
            <w:pPr>
              <w:pStyle w:val="6"/>
              <w:spacing w:before="211" w:line="8" w:lineRule="exact"/>
              <w:ind w:left="646"/>
            </w:pPr>
            <w:r>
              <w:pict>
                <v:shape id="_x0000_s1131" o:spid="_x0000_s1131" o:spt="202" type="#_x0000_t202" style="position:absolute;left:0pt;margin-left:31pt;margin-top:1.35pt;height:14.1pt;width:23pt;z-index:251687936;mso-width-relative:page;mso-height-relative:page;" filled="f" stroked="f" coordsize="21600,21600">
                  <v:path/>
                  <v:fill on="f" focussize="0,0"/>
                  <v:stroke on="f"/>
                  <v:imagedata o:title=""/>
                  <o:lock v:ext="edit" aspectratio="f"/>
                  <v:textbox inset="0mm,0mm,0mm,0mm">
                    <w:txbxContent>
                      <w:p w14:paraId="18397A27">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30C66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706" w:type="dxa"/>
            <w:vMerge w:val="continue"/>
            <w:tcBorders>
              <w:top w:val="nil"/>
            </w:tcBorders>
            <w:vAlign w:val="top"/>
          </w:tcPr>
          <w:p w14:paraId="2973E0C4">
            <w:pPr>
              <w:rPr>
                <w:rFonts w:ascii="Arial"/>
                <w:sz w:val="21"/>
              </w:rPr>
            </w:pPr>
          </w:p>
        </w:tc>
        <w:tc>
          <w:tcPr>
            <w:tcW w:w="1701" w:type="dxa"/>
            <w:vAlign w:val="top"/>
          </w:tcPr>
          <w:p w14:paraId="434CDA25">
            <w:pPr>
              <w:pStyle w:val="6"/>
              <w:spacing w:before="111" w:line="213" w:lineRule="auto"/>
              <w:ind w:left="437"/>
            </w:pPr>
            <w:r>
              <w:rPr>
                <w:strike/>
                <w:spacing w:val="-2"/>
              </w:rPr>
              <w:t>夏热冬暖</w:t>
            </w:r>
          </w:p>
        </w:tc>
        <w:tc>
          <w:tcPr>
            <w:tcW w:w="3412" w:type="dxa"/>
            <w:gridSpan w:val="3"/>
            <w:vAlign w:val="top"/>
          </w:tcPr>
          <w:p w14:paraId="4012036D">
            <w:pPr>
              <w:pStyle w:val="6"/>
              <w:spacing w:before="111" w:line="213" w:lineRule="auto"/>
              <w:ind w:left="1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0.9</w:t>
            </w:r>
          </w:p>
        </w:tc>
        <w:tc>
          <w:tcPr>
            <w:tcW w:w="1707" w:type="dxa"/>
            <w:vAlign w:val="top"/>
          </w:tcPr>
          <w:p w14:paraId="1050C60C">
            <w:pPr>
              <w:pStyle w:val="6"/>
              <w:spacing w:before="211" w:line="8" w:lineRule="exact"/>
              <w:ind w:left="646"/>
            </w:pPr>
            <w:r>
              <w:pict>
                <v:shape id="_x0000_s1132" o:spid="_x0000_s1132" o:spt="202" type="#_x0000_t202" style="position:absolute;left:0pt;margin-left:31pt;margin-top:1.3pt;height:14.1pt;width:23pt;z-index:251689984;mso-width-relative:page;mso-height-relative:page;" filled="f" stroked="f" coordsize="21600,21600">
                  <v:path/>
                  <v:fill on="f" focussize="0,0"/>
                  <v:stroke on="f"/>
                  <v:imagedata o:title=""/>
                  <o:lock v:ext="edit" aspectratio="f"/>
                  <v:textbox inset="0mm,0mm,0mm,0mm">
                    <w:txbxContent>
                      <w:p w14:paraId="3A2B9BEE">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78D60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706" w:type="dxa"/>
            <w:vMerge w:val="restart"/>
            <w:tcBorders>
              <w:bottom w:val="nil"/>
            </w:tcBorders>
            <w:vAlign w:val="top"/>
          </w:tcPr>
          <w:p w14:paraId="774EA88B">
            <w:pPr>
              <w:pStyle w:val="6"/>
              <w:spacing w:before="297" w:line="219" w:lineRule="auto"/>
              <w:ind w:left="543"/>
            </w:pPr>
            <w:r>
              <w:rPr>
                <w:strike/>
                <w:spacing w:val="-2"/>
              </w:rPr>
              <w:t>采光顶</w:t>
            </w:r>
          </w:p>
        </w:tc>
        <w:tc>
          <w:tcPr>
            <w:tcW w:w="1701" w:type="dxa"/>
            <w:vAlign w:val="top"/>
          </w:tcPr>
          <w:p w14:paraId="2DDC96B1">
            <w:pPr>
              <w:pStyle w:val="6"/>
              <w:spacing w:before="111" w:line="213" w:lineRule="auto"/>
              <w:ind w:left="204"/>
            </w:pPr>
            <w:r>
              <w:rPr>
                <w:strike/>
                <w:spacing w:val="-2"/>
              </w:rPr>
              <w:t>严寒地区</w:t>
            </w:r>
            <w:r>
              <w:rPr>
                <w:strike/>
                <w:spacing w:val="-51"/>
              </w:rPr>
              <w:t xml:space="preserve"> </w:t>
            </w:r>
            <w:r>
              <w:rPr>
                <w:rFonts w:ascii="Times New Roman" w:hAnsi="Times New Roman" w:eastAsia="Times New Roman" w:cs="Times New Roman"/>
                <w:strike/>
                <w:spacing w:val="-2"/>
              </w:rPr>
              <w:t>A</w:t>
            </w:r>
            <w:r>
              <w:rPr>
                <w:rFonts w:ascii="Times New Roman" w:hAnsi="Times New Roman" w:eastAsia="Times New Roman" w:cs="Times New Roman"/>
                <w:strike/>
                <w:spacing w:val="24"/>
              </w:rPr>
              <w:t xml:space="preserve"> </w:t>
            </w:r>
            <w:r>
              <w:rPr>
                <w:strike/>
                <w:spacing w:val="-2"/>
              </w:rPr>
              <w:t>区</w:t>
            </w:r>
          </w:p>
        </w:tc>
        <w:tc>
          <w:tcPr>
            <w:tcW w:w="3412" w:type="dxa"/>
            <w:gridSpan w:val="3"/>
            <w:vAlign w:val="top"/>
          </w:tcPr>
          <w:p w14:paraId="0CE63D7E">
            <w:pPr>
              <w:pStyle w:val="6"/>
              <w:spacing w:before="111" w:line="213" w:lineRule="auto"/>
              <w:ind w:left="1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2.5</w:t>
            </w:r>
          </w:p>
        </w:tc>
        <w:tc>
          <w:tcPr>
            <w:tcW w:w="1707" w:type="dxa"/>
            <w:vAlign w:val="top"/>
          </w:tcPr>
          <w:p w14:paraId="25CEECB4">
            <w:pPr>
              <w:pStyle w:val="6"/>
              <w:spacing w:before="211" w:line="8" w:lineRule="exact"/>
              <w:ind w:left="646"/>
            </w:pPr>
            <w:r>
              <w:pict>
                <v:shape id="_x0000_s1133" o:spid="_x0000_s1133" o:spt="202" type="#_x0000_t202" style="position:absolute;left:0pt;margin-left:31pt;margin-top:1.35pt;height:14.1pt;width:23pt;z-index:251688960;mso-width-relative:page;mso-height-relative:page;" filled="f" stroked="f" coordsize="21600,21600">
                  <v:path/>
                  <v:fill on="f" focussize="0,0"/>
                  <v:stroke on="f"/>
                  <v:imagedata o:title=""/>
                  <o:lock v:ext="edit" aspectratio="f"/>
                  <v:textbox inset="0mm,0mm,0mm,0mm">
                    <w:txbxContent>
                      <w:p w14:paraId="1C3334E2">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014DC8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706" w:type="dxa"/>
            <w:vMerge w:val="continue"/>
            <w:tcBorders>
              <w:top w:val="nil"/>
            </w:tcBorders>
            <w:vAlign w:val="top"/>
          </w:tcPr>
          <w:p w14:paraId="7BCD77B5">
            <w:pPr>
              <w:rPr>
                <w:rFonts w:ascii="Arial"/>
                <w:sz w:val="21"/>
              </w:rPr>
            </w:pPr>
          </w:p>
        </w:tc>
        <w:tc>
          <w:tcPr>
            <w:tcW w:w="1701" w:type="dxa"/>
            <w:vAlign w:val="top"/>
          </w:tcPr>
          <w:p w14:paraId="4DDA99D6">
            <w:pPr>
              <w:pStyle w:val="6"/>
              <w:spacing w:before="113" w:line="217" w:lineRule="auto"/>
              <w:ind w:left="210"/>
            </w:pPr>
            <w:r>
              <w:rPr>
                <w:strike/>
                <w:spacing w:val="-3"/>
              </w:rPr>
              <w:t>严寒地区</w:t>
            </w:r>
            <w:r>
              <w:rPr>
                <w:strike/>
                <w:spacing w:val="-45"/>
              </w:rPr>
              <w:t xml:space="preserve"> </w:t>
            </w:r>
            <w:r>
              <w:rPr>
                <w:rFonts w:ascii="Times New Roman" w:hAnsi="Times New Roman" w:eastAsia="Times New Roman" w:cs="Times New Roman"/>
                <w:strike/>
                <w:spacing w:val="-3"/>
              </w:rPr>
              <w:t>B</w:t>
            </w:r>
            <w:r>
              <w:rPr>
                <w:rFonts w:ascii="Times New Roman" w:hAnsi="Times New Roman" w:eastAsia="Times New Roman" w:cs="Times New Roman"/>
                <w:strike/>
                <w:spacing w:val="23"/>
                <w:w w:val="101"/>
              </w:rPr>
              <w:t xml:space="preserve"> </w:t>
            </w:r>
            <w:r>
              <w:rPr>
                <w:strike/>
                <w:spacing w:val="-3"/>
              </w:rPr>
              <w:t>区</w:t>
            </w:r>
          </w:p>
        </w:tc>
        <w:tc>
          <w:tcPr>
            <w:tcW w:w="3412" w:type="dxa"/>
            <w:gridSpan w:val="3"/>
            <w:vAlign w:val="top"/>
          </w:tcPr>
          <w:p w14:paraId="43558A5D">
            <w:pPr>
              <w:pStyle w:val="6"/>
              <w:spacing w:before="113" w:line="217" w:lineRule="auto"/>
              <w:ind w:left="149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2.6</w:t>
            </w:r>
          </w:p>
        </w:tc>
        <w:tc>
          <w:tcPr>
            <w:tcW w:w="1707" w:type="dxa"/>
            <w:vAlign w:val="top"/>
          </w:tcPr>
          <w:p w14:paraId="652C7923">
            <w:pPr>
              <w:pStyle w:val="6"/>
              <w:spacing w:before="213" w:line="8" w:lineRule="exact"/>
              <w:ind w:left="646"/>
            </w:pPr>
            <w:r>
              <w:pict>
                <v:shape id="_x0000_s1134" o:spid="_x0000_s1134" o:spt="202" type="#_x0000_t202" style="position:absolute;left:0pt;margin-left:31pt;margin-top:1.45pt;height:14.1pt;width:23pt;z-index:251686912;mso-width-relative:page;mso-height-relative:page;" filled="f" stroked="f" coordsize="21600,21600">
                  <v:path/>
                  <v:fill on="f" focussize="0,0"/>
                  <v:stroke on="f"/>
                  <v:imagedata o:title=""/>
                  <o:lock v:ext="edit" aspectratio="f"/>
                  <v:textbox inset="0mm,0mm,0mm,0mm">
                    <w:txbxContent>
                      <w:p w14:paraId="54631159">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bl>
    <w:p w14:paraId="020C30FA">
      <w:pPr>
        <w:pStyle w:val="2"/>
      </w:pPr>
    </w:p>
    <w:p w14:paraId="443E0729">
      <w:pPr>
        <w:sectPr>
          <w:footerReference r:id="rId66" w:type="default"/>
          <w:pgSz w:w="11907" w:h="16839"/>
          <w:pgMar w:top="400" w:right="1448" w:bottom="743" w:left="1421" w:header="0" w:footer="582" w:gutter="0"/>
          <w:cols w:space="720" w:num="1"/>
        </w:sectPr>
      </w:pPr>
    </w:p>
    <w:p w14:paraId="37C70105">
      <w:pPr>
        <w:spacing w:before="41"/>
      </w:pPr>
    </w:p>
    <w:p w14:paraId="2FD04BD7">
      <w:pPr>
        <w:spacing w:before="41"/>
      </w:pPr>
    </w:p>
    <w:p w14:paraId="5F2ABDED">
      <w:pPr>
        <w:spacing w:before="40"/>
      </w:pPr>
    </w:p>
    <w:tbl>
      <w:tblPr>
        <w:tblStyle w:val="5"/>
        <w:tblW w:w="8526" w:type="dxa"/>
        <w:tblInd w:w="2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7"/>
        <w:gridCol w:w="1703"/>
        <w:gridCol w:w="3407"/>
        <w:gridCol w:w="1709"/>
      </w:tblGrid>
      <w:tr w14:paraId="2F81D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707" w:type="dxa"/>
            <w:vMerge w:val="restart"/>
            <w:tcBorders>
              <w:bottom w:val="nil"/>
            </w:tcBorders>
            <w:vAlign w:val="top"/>
          </w:tcPr>
          <w:p w14:paraId="368D1C99">
            <w:pPr>
              <w:rPr>
                <w:rFonts w:ascii="Arial"/>
                <w:sz w:val="21"/>
              </w:rPr>
            </w:pPr>
          </w:p>
        </w:tc>
        <w:tc>
          <w:tcPr>
            <w:tcW w:w="1703" w:type="dxa"/>
            <w:vAlign w:val="top"/>
          </w:tcPr>
          <w:p w14:paraId="259D9C7B">
            <w:pPr>
              <w:pStyle w:val="6"/>
              <w:spacing w:before="113" w:line="215" w:lineRule="auto"/>
              <w:ind w:left="438"/>
            </w:pPr>
            <w:r>
              <w:rPr>
                <w:strike/>
                <w:spacing w:val="-2"/>
              </w:rPr>
              <w:t>寒冷地区</w:t>
            </w:r>
          </w:p>
        </w:tc>
        <w:tc>
          <w:tcPr>
            <w:tcW w:w="3407" w:type="dxa"/>
            <w:vAlign w:val="top"/>
          </w:tcPr>
          <w:p w14:paraId="7B426145">
            <w:pPr>
              <w:pStyle w:val="6"/>
              <w:spacing w:before="113" w:line="215" w:lineRule="auto"/>
              <w:ind w:left="1488"/>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2.7</w:t>
            </w:r>
          </w:p>
        </w:tc>
        <w:tc>
          <w:tcPr>
            <w:tcW w:w="1709" w:type="dxa"/>
            <w:vAlign w:val="top"/>
          </w:tcPr>
          <w:p w14:paraId="474955CA">
            <w:pPr>
              <w:pStyle w:val="6"/>
              <w:spacing w:before="113" w:line="215" w:lineRule="auto"/>
              <w:ind w:left="586"/>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50</w:t>
            </w:r>
          </w:p>
        </w:tc>
      </w:tr>
      <w:tr w14:paraId="3D6F0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707" w:type="dxa"/>
            <w:vMerge w:val="continue"/>
            <w:tcBorders>
              <w:top w:val="nil"/>
              <w:bottom w:val="nil"/>
            </w:tcBorders>
            <w:vAlign w:val="top"/>
          </w:tcPr>
          <w:p w14:paraId="78CB5362">
            <w:pPr>
              <w:rPr>
                <w:rFonts w:ascii="Arial"/>
                <w:sz w:val="21"/>
              </w:rPr>
            </w:pPr>
          </w:p>
        </w:tc>
        <w:tc>
          <w:tcPr>
            <w:tcW w:w="1703" w:type="dxa"/>
            <w:vAlign w:val="top"/>
          </w:tcPr>
          <w:p w14:paraId="67D34269">
            <w:pPr>
              <w:pStyle w:val="6"/>
              <w:spacing w:before="109" w:line="214" w:lineRule="auto"/>
              <w:ind w:left="436"/>
            </w:pPr>
            <w:r>
              <w:rPr>
                <w:strike/>
                <w:spacing w:val="-2"/>
              </w:rPr>
              <w:t>夏热冬冷</w:t>
            </w:r>
          </w:p>
        </w:tc>
        <w:tc>
          <w:tcPr>
            <w:tcW w:w="3407" w:type="dxa"/>
            <w:vAlign w:val="top"/>
          </w:tcPr>
          <w:p w14:paraId="6BCAD322">
            <w:pPr>
              <w:pStyle w:val="6"/>
              <w:spacing w:before="109" w:line="214" w:lineRule="auto"/>
              <w:ind w:left="1488"/>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3.0</w:t>
            </w:r>
          </w:p>
        </w:tc>
        <w:tc>
          <w:tcPr>
            <w:tcW w:w="1709" w:type="dxa"/>
            <w:vAlign w:val="top"/>
          </w:tcPr>
          <w:p w14:paraId="64F1570F">
            <w:pPr>
              <w:pStyle w:val="6"/>
              <w:spacing w:before="109" w:line="214" w:lineRule="auto"/>
              <w:ind w:left="586"/>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40</w:t>
            </w:r>
          </w:p>
        </w:tc>
      </w:tr>
      <w:tr w14:paraId="21E98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707" w:type="dxa"/>
            <w:vMerge w:val="continue"/>
            <w:tcBorders>
              <w:top w:val="nil"/>
            </w:tcBorders>
            <w:vAlign w:val="top"/>
          </w:tcPr>
          <w:p w14:paraId="0B927E79">
            <w:pPr>
              <w:rPr>
                <w:rFonts w:ascii="Arial"/>
                <w:sz w:val="21"/>
              </w:rPr>
            </w:pPr>
          </w:p>
        </w:tc>
        <w:tc>
          <w:tcPr>
            <w:tcW w:w="1703" w:type="dxa"/>
            <w:vAlign w:val="top"/>
          </w:tcPr>
          <w:p w14:paraId="30E2D0D9">
            <w:pPr>
              <w:pStyle w:val="6"/>
              <w:spacing w:before="112" w:line="217" w:lineRule="auto"/>
              <w:ind w:left="436"/>
            </w:pPr>
            <w:r>
              <w:rPr>
                <w:strike/>
                <w:spacing w:val="-2"/>
              </w:rPr>
              <w:t>夏热冬暖</w:t>
            </w:r>
          </w:p>
        </w:tc>
        <w:tc>
          <w:tcPr>
            <w:tcW w:w="3407" w:type="dxa"/>
            <w:vAlign w:val="top"/>
          </w:tcPr>
          <w:p w14:paraId="4861A4E6">
            <w:pPr>
              <w:pStyle w:val="6"/>
              <w:spacing w:before="112" w:line="217" w:lineRule="auto"/>
              <w:ind w:left="1488"/>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3.5</w:t>
            </w:r>
          </w:p>
        </w:tc>
        <w:tc>
          <w:tcPr>
            <w:tcW w:w="1709" w:type="dxa"/>
            <w:vAlign w:val="top"/>
          </w:tcPr>
          <w:p w14:paraId="4B9FF708">
            <w:pPr>
              <w:pStyle w:val="6"/>
              <w:spacing w:before="112" w:line="217" w:lineRule="auto"/>
              <w:ind w:left="586"/>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35</w:t>
            </w:r>
          </w:p>
        </w:tc>
      </w:tr>
    </w:tbl>
    <w:p w14:paraId="3AD15636">
      <w:pPr>
        <w:spacing w:before="170" w:line="219" w:lineRule="auto"/>
        <w:ind w:left="2539"/>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35"/>
          <w:sz w:val="21"/>
          <w:szCs w:val="21"/>
        </w:rPr>
        <w:t xml:space="preserve"> </w:t>
      </w:r>
      <w:r>
        <w:rPr>
          <w:rFonts w:ascii="Times New Roman" w:hAnsi="Times New Roman" w:eastAsia="Times New Roman" w:cs="Times New Roman"/>
          <w:strike/>
          <w:spacing w:val="-1"/>
          <w:sz w:val="21"/>
          <w:szCs w:val="21"/>
        </w:rPr>
        <w:t xml:space="preserve">4.5.1-2    </w:t>
      </w:r>
      <w:r>
        <w:rPr>
          <w:rFonts w:ascii="宋体" w:hAnsi="宋体" w:eastAsia="宋体" w:cs="宋体"/>
          <w:strike/>
          <w:spacing w:val="-1"/>
          <w:sz w:val="21"/>
          <w:szCs w:val="21"/>
        </w:rPr>
        <w:t>居住建筑金属屋面传热系数限值</w:t>
      </w:r>
    </w:p>
    <w:p w14:paraId="549AF2DC">
      <w:pPr>
        <w:spacing w:line="19" w:lineRule="exact"/>
      </w:pPr>
    </w:p>
    <w:tbl>
      <w:tblPr>
        <w:tblStyle w:val="5"/>
        <w:tblW w:w="8526" w:type="dxa"/>
        <w:tblInd w:w="2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05"/>
        <w:gridCol w:w="1005"/>
        <w:gridCol w:w="764"/>
        <w:gridCol w:w="899"/>
        <w:gridCol w:w="885"/>
        <w:gridCol w:w="293"/>
        <w:gridCol w:w="561"/>
        <w:gridCol w:w="885"/>
        <w:gridCol w:w="869"/>
        <w:gridCol w:w="860"/>
      </w:tblGrid>
      <w:tr w14:paraId="3BB85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505" w:type="dxa"/>
            <w:vMerge w:val="restart"/>
            <w:tcBorders>
              <w:bottom w:val="nil"/>
            </w:tcBorders>
            <w:vAlign w:val="top"/>
          </w:tcPr>
          <w:p w14:paraId="08EBE985">
            <w:pPr>
              <w:pStyle w:val="6"/>
              <w:spacing w:before="113" w:line="220" w:lineRule="auto"/>
              <w:ind w:left="563"/>
            </w:pPr>
            <w:r>
              <w:rPr>
                <w:strike/>
                <w:spacing w:val="-6"/>
              </w:rPr>
              <w:t>区域</w:t>
            </w:r>
          </w:p>
        </w:tc>
        <w:tc>
          <w:tcPr>
            <w:tcW w:w="3846" w:type="dxa"/>
            <w:gridSpan w:val="5"/>
            <w:tcBorders>
              <w:right w:val="nil"/>
            </w:tcBorders>
            <w:vAlign w:val="top"/>
          </w:tcPr>
          <w:p w14:paraId="758EF39C">
            <w:pPr>
              <w:pStyle w:val="6"/>
              <w:spacing w:before="113" w:line="212" w:lineRule="auto"/>
              <w:jc w:val="right"/>
              <w:rPr>
                <w:rFonts w:ascii="Times New Roman" w:hAnsi="Times New Roman" w:eastAsia="Times New Roman" w:cs="Times New Roman"/>
              </w:rPr>
            </w:pPr>
            <w:r>
              <w:rPr>
                <w:strike/>
                <w:spacing w:val="-12"/>
              </w:rPr>
              <w:t>传</w:t>
            </w:r>
            <w:r>
              <w:rPr>
                <w:strike/>
                <w:spacing w:val="-11"/>
              </w:rPr>
              <w:t>热系数</w:t>
            </w:r>
            <w:r>
              <w:rPr>
                <w:rFonts w:ascii="Times New Roman" w:hAnsi="Times New Roman" w:eastAsia="Times New Roman" w:cs="Times New Roman"/>
                <w:strike/>
                <w:spacing w:val="-11"/>
              </w:rPr>
              <w:t>[W/(</w:t>
            </w:r>
            <w:r>
              <w:rPr>
                <w:rFonts w:ascii="Times New Roman" w:hAnsi="Times New Roman" w:eastAsia="Times New Roman" w:cs="Times New Roman"/>
                <w:strike/>
                <w:spacing w:val="-1"/>
              </w:rPr>
              <w:t>m</w:t>
            </w:r>
          </w:p>
        </w:tc>
        <w:tc>
          <w:tcPr>
            <w:tcW w:w="3175" w:type="dxa"/>
            <w:gridSpan w:val="4"/>
            <w:tcBorders>
              <w:left w:val="nil"/>
            </w:tcBorders>
            <w:vAlign w:val="top"/>
          </w:tcPr>
          <w:p w14:paraId="39CFB5C7">
            <w:pPr>
              <w:pStyle w:val="6"/>
              <w:spacing w:before="113" w:line="212" w:lineRule="auto"/>
              <w:ind w:left="79"/>
              <w:rPr>
                <w:rFonts w:ascii="Times New Roman" w:hAnsi="Times New Roman" w:eastAsia="Times New Roman" w:cs="Times New Roman"/>
              </w:rPr>
            </w:pPr>
            <w:r>
              <w:rPr>
                <w:rFonts w:ascii="Times New Roman" w:hAnsi="Times New Roman" w:eastAsia="Times New Roman" w:cs="Times New Roman"/>
                <w:strike/>
                <w:spacing w:val="-3"/>
                <w:position w:val="7"/>
                <w:sz w:val="14"/>
                <w:szCs w:val="14"/>
              </w:rPr>
              <w:t>2</w:t>
            </w:r>
            <w:r>
              <w:rPr>
                <w:rFonts w:ascii="Times New Roman" w:hAnsi="Times New Roman" w:eastAsia="Times New Roman" w:cs="Times New Roman"/>
                <w:strike/>
                <w:spacing w:val="6"/>
                <w:position w:val="7"/>
                <w:sz w:val="14"/>
                <w:szCs w:val="14"/>
              </w:rPr>
              <w:t xml:space="preserve">  </w:t>
            </w:r>
            <w:r>
              <w:rPr>
                <w:strike/>
                <w:spacing w:val="-21"/>
              </w:rPr>
              <w:t>·</w:t>
            </w:r>
            <w:r>
              <w:rPr>
                <w:rFonts w:ascii="Times New Roman" w:hAnsi="Times New Roman" w:eastAsia="Times New Roman" w:cs="Times New Roman"/>
                <w:strike/>
                <w:spacing w:val="-21"/>
              </w:rPr>
              <w:t>K)]</w:t>
            </w:r>
          </w:p>
        </w:tc>
      </w:tr>
      <w:tr w14:paraId="5E133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505" w:type="dxa"/>
            <w:vMerge w:val="continue"/>
            <w:tcBorders>
              <w:top w:val="nil"/>
              <w:bottom w:val="nil"/>
            </w:tcBorders>
            <w:vAlign w:val="top"/>
          </w:tcPr>
          <w:p w14:paraId="2647AC56">
            <w:pPr>
              <w:rPr>
                <w:rFonts w:ascii="Arial"/>
                <w:sz w:val="21"/>
              </w:rPr>
            </w:pPr>
          </w:p>
        </w:tc>
        <w:tc>
          <w:tcPr>
            <w:tcW w:w="1005" w:type="dxa"/>
            <w:vMerge w:val="restart"/>
            <w:tcBorders>
              <w:bottom w:val="nil"/>
            </w:tcBorders>
            <w:vAlign w:val="top"/>
          </w:tcPr>
          <w:p w14:paraId="5C823A4D">
            <w:pPr>
              <w:pStyle w:val="6"/>
              <w:spacing w:before="108" w:line="270" w:lineRule="auto"/>
              <w:ind w:left="191" w:right="134" w:hanging="52"/>
            </w:pPr>
            <w:r>
              <w:rPr>
                <w:rFonts w:ascii="Times New Roman" w:hAnsi="Times New Roman" w:eastAsia="Times New Roman" w:cs="Times New Roman"/>
                <w:strike/>
                <w:spacing w:val="-7"/>
              </w:rPr>
              <w:t>3</w:t>
            </w:r>
            <w:r>
              <w:rPr>
                <w:rFonts w:ascii="Times New Roman" w:hAnsi="Times New Roman" w:eastAsia="Times New Roman" w:cs="Times New Roman"/>
                <w:strike/>
                <w:spacing w:val="10"/>
              </w:rPr>
              <w:t xml:space="preserve"> </w:t>
            </w:r>
            <w:r>
              <w:rPr>
                <w:strike/>
                <w:spacing w:val="-7"/>
              </w:rPr>
              <w:t>层及</w:t>
            </w:r>
            <w:r>
              <w:rPr>
                <w:strike/>
                <w:spacing w:val="-45"/>
              </w:rPr>
              <w:t xml:space="preserve"> </w:t>
            </w:r>
            <w:r>
              <w:rPr>
                <w:rFonts w:ascii="Times New Roman" w:hAnsi="Times New Roman" w:eastAsia="Times New Roman" w:cs="Times New Roman"/>
                <w:strike/>
                <w:spacing w:val="-7"/>
              </w:rPr>
              <w:t>3</w:t>
            </w:r>
            <w:r>
              <w:rPr>
                <w:rFonts w:ascii="Times New Roman" w:hAnsi="Times New Roman" w:eastAsia="Times New Roman" w:cs="Times New Roman"/>
              </w:rPr>
              <w:t xml:space="preserve"> </w:t>
            </w:r>
            <w:r>
              <w:rPr>
                <w:strike/>
                <w:spacing w:val="-2"/>
              </w:rPr>
              <w:t>层以下</w:t>
            </w:r>
          </w:p>
        </w:tc>
        <w:tc>
          <w:tcPr>
            <w:tcW w:w="764" w:type="dxa"/>
            <w:vMerge w:val="restart"/>
            <w:tcBorders>
              <w:bottom w:val="nil"/>
            </w:tcBorders>
            <w:vAlign w:val="top"/>
          </w:tcPr>
          <w:p w14:paraId="74842F75">
            <w:pPr>
              <w:pStyle w:val="6"/>
              <w:spacing w:before="107" w:line="220" w:lineRule="auto"/>
              <w:ind w:left="202"/>
            </w:pPr>
            <w:r>
              <w:rPr>
                <w:rFonts w:ascii="Times New Roman" w:hAnsi="Times New Roman" w:eastAsia="Times New Roman" w:cs="Times New Roman"/>
                <w:strike/>
                <w:spacing w:val="-5"/>
              </w:rPr>
              <w:t>3</w:t>
            </w:r>
            <w:r>
              <w:rPr>
                <w:rFonts w:ascii="Times New Roman" w:hAnsi="Times New Roman" w:eastAsia="Times New Roman" w:cs="Times New Roman"/>
                <w:strike/>
                <w:spacing w:val="9"/>
              </w:rPr>
              <w:t xml:space="preserve"> </w:t>
            </w:r>
            <w:r>
              <w:rPr>
                <w:strike/>
                <w:spacing w:val="-5"/>
              </w:rPr>
              <w:t>层</w:t>
            </w:r>
          </w:p>
          <w:p w14:paraId="70A71205">
            <w:pPr>
              <w:pStyle w:val="6"/>
              <w:spacing w:before="110" w:line="222" w:lineRule="auto"/>
              <w:ind w:left="198"/>
            </w:pPr>
            <w:r>
              <w:rPr>
                <w:strike/>
                <w:spacing w:val="-8"/>
              </w:rPr>
              <w:t>以上</w:t>
            </w:r>
          </w:p>
        </w:tc>
        <w:tc>
          <w:tcPr>
            <w:tcW w:w="1784" w:type="dxa"/>
            <w:gridSpan w:val="2"/>
            <w:vAlign w:val="top"/>
          </w:tcPr>
          <w:p w14:paraId="1D4315E3">
            <w:pPr>
              <w:pStyle w:val="6"/>
              <w:spacing w:before="108" w:line="216" w:lineRule="auto"/>
              <w:ind w:left="241"/>
              <w:rPr>
                <w:rFonts w:ascii="Times New Roman" w:hAnsi="Times New Roman" w:eastAsia="Times New Roman" w:cs="Times New Roman"/>
              </w:rPr>
            </w:pPr>
            <w:r>
              <w:rPr>
                <w:strike/>
                <w:spacing w:val="-2"/>
              </w:rPr>
              <w:t>体形系数≤</w:t>
            </w:r>
            <w:r>
              <w:rPr>
                <w:rFonts w:ascii="Times New Roman" w:hAnsi="Times New Roman" w:eastAsia="Times New Roman" w:cs="Times New Roman"/>
                <w:strike/>
                <w:spacing w:val="-2"/>
              </w:rPr>
              <w:t>0.4</w:t>
            </w:r>
          </w:p>
        </w:tc>
        <w:tc>
          <w:tcPr>
            <w:tcW w:w="1739" w:type="dxa"/>
            <w:gridSpan w:val="3"/>
            <w:vAlign w:val="top"/>
          </w:tcPr>
          <w:p w14:paraId="11D2D7C4">
            <w:pPr>
              <w:pStyle w:val="6"/>
              <w:spacing w:before="108" w:line="216" w:lineRule="auto"/>
              <w:ind w:left="219"/>
              <w:rPr>
                <w:rFonts w:ascii="Times New Roman" w:hAnsi="Times New Roman" w:eastAsia="Times New Roman" w:cs="Times New Roman"/>
              </w:rPr>
            </w:pPr>
            <w:r>
              <w:rPr>
                <w:strike/>
                <w:spacing w:val="-2"/>
              </w:rPr>
              <w:t>体形系数＞</w:t>
            </w:r>
            <w:r>
              <w:rPr>
                <w:rFonts w:ascii="Times New Roman" w:hAnsi="Times New Roman" w:eastAsia="Times New Roman" w:cs="Times New Roman"/>
                <w:strike/>
                <w:spacing w:val="-2"/>
              </w:rPr>
              <w:t>0.4</w:t>
            </w:r>
          </w:p>
        </w:tc>
        <w:tc>
          <w:tcPr>
            <w:tcW w:w="869" w:type="dxa"/>
            <w:vMerge w:val="restart"/>
            <w:tcBorders>
              <w:bottom w:val="nil"/>
            </w:tcBorders>
            <w:vAlign w:val="top"/>
          </w:tcPr>
          <w:p w14:paraId="1F3BCA19">
            <w:pPr>
              <w:pStyle w:val="6"/>
              <w:spacing w:before="107" w:line="236" w:lineRule="auto"/>
              <w:ind w:left="124"/>
              <w:rPr>
                <w:rFonts w:ascii="Times New Roman" w:hAnsi="Times New Roman" w:eastAsia="Times New Roman" w:cs="Times New Roman"/>
              </w:rPr>
            </w:pPr>
            <w:r>
              <w:rPr>
                <w:rFonts w:ascii="Times New Roman" w:hAnsi="Times New Roman" w:eastAsia="Times New Roman" w:cs="Times New Roman"/>
                <w:strike/>
                <w:spacing w:val="-6"/>
              </w:rPr>
              <w:t>D</w:t>
            </w:r>
            <w:r>
              <w:rPr>
                <w:rFonts w:ascii="Times New Roman" w:hAnsi="Times New Roman" w:eastAsia="Times New Roman" w:cs="Times New Roman"/>
                <w:strike/>
                <w:spacing w:val="-27"/>
              </w:rPr>
              <w:t xml:space="preserve"> </w:t>
            </w:r>
            <w:r>
              <w:rPr>
                <w:strike/>
                <w:spacing w:val="-6"/>
              </w:rPr>
              <w:t>＜</w:t>
            </w:r>
            <w:r>
              <w:rPr>
                <w:rFonts w:ascii="Times New Roman" w:hAnsi="Times New Roman" w:eastAsia="Times New Roman" w:cs="Times New Roman"/>
                <w:strike/>
                <w:spacing w:val="-6"/>
              </w:rPr>
              <w:t>2.5</w:t>
            </w:r>
          </w:p>
        </w:tc>
        <w:tc>
          <w:tcPr>
            <w:tcW w:w="860" w:type="dxa"/>
            <w:vMerge w:val="restart"/>
            <w:tcBorders>
              <w:bottom w:val="nil"/>
            </w:tcBorders>
            <w:vAlign w:val="top"/>
          </w:tcPr>
          <w:p w14:paraId="10C39479">
            <w:pPr>
              <w:pStyle w:val="6"/>
              <w:spacing w:before="107" w:line="236" w:lineRule="auto"/>
              <w:ind w:left="118"/>
              <w:rPr>
                <w:rFonts w:ascii="Times New Roman" w:hAnsi="Times New Roman" w:eastAsia="Times New Roman" w:cs="Times New Roman"/>
              </w:rPr>
            </w:pPr>
            <w:r>
              <w:rPr>
                <w:rFonts w:ascii="Times New Roman" w:hAnsi="Times New Roman" w:eastAsia="Times New Roman" w:cs="Times New Roman"/>
                <w:strike/>
                <w:spacing w:val="-7"/>
              </w:rPr>
              <w:t>D</w:t>
            </w:r>
            <w:r>
              <w:rPr>
                <w:rFonts w:ascii="Times New Roman" w:hAnsi="Times New Roman" w:eastAsia="Times New Roman" w:cs="Times New Roman"/>
                <w:strike/>
                <w:spacing w:val="-22"/>
              </w:rPr>
              <w:t xml:space="preserve"> </w:t>
            </w:r>
            <w:r>
              <w:rPr>
                <w:strike/>
                <w:spacing w:val="-7"/>
              </w:rPr>
              <w:t>≥</w:t>
            </w:r>
            <w:r>
              <w:rPr>
                <w:rFonts w:ascii="Times New Roman" w:hAnsi="Times New Roman" w:eastAsia="Times New Roman" w:cs="Times New Roman"/>
                <w:strike/>
                <w:spacing w:val="-7"/>
              </w:rPr>
              <w:t>2.5</w:t>
            </w:r>
          </w:p>
        </w:tc>
      </w:tr>
      <w:tr w14:paraId="73178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505" w:type="dxa"/>
            <w:vMerge w:val="continue"/>
            <w:tcBorders>
              <w:top w:val="nil"/>
            </w:tcBorders>
            <w:vAlign w:val="top"/>
          </w:tcPr>
          <w:p w14:paraId="599CFF89">
            <w:pPr>
              <w:rPr>
                <w:rFonts w:ascii="Arial"/>
                <w:sz w:val="21"/>
              </w:rPr>
            </w:pPr>
          </w:p>
        </w:tc>
        <w:tc>
          <w:tcPr>
            <w:tcW w:w="1005" w:type="dxa"/>
            <w:vMerge w:val="continue"/>
            <w:tcBorders>
              <w:top w:val="nil"/>
            </w:tcBorders>
            <w:vAlign w:val="top"/>
          </w:tcPr>
          <w:p w14:paraId="58F80461">
            <w:pPr>
              <w:rPr>
                <w:rFonts w:ascii="Arial"/>
                <w:sz w:val="21"/>
              </w:rPr>
            </w:pPr>
          </w:p>
        </w:tc>
        <w:tc>
          <w:tcPr>
            <w:tcW w:w="764" w:type="dxa"/>
            <w:vMerge w:val="continue"/>
            <w:tcBorders>
              <w:top w:val="nil"/>
            </w:tcBorders>
            <w:vAlign w:val="top"/>
          </w:tcPr>
          <w:p w14:paraId="60917932">
            <w:pPr>
              <w:rPr>
                <w:rFonts w:ascii="Arial"/>
                <w:sz w:val="21"/>
              </w:rPr>
            </w:pPr>
          </w:p>
        </w:tc>
        <w:tc>
          <w:tcPr>
            <w:tcW w:w="899" w:type="dxa"/>
            <w:vAlign w:val="top"/>
          </w:tcPr>
          <w:p w14:paraId="438A76F7">
            <w:pPr>
              <w:pStyle w:val="6"/>
              <w:spacing w:before="108" w:line="216" w:lineRule="auto"/>
              <w:ind w:left="138"/>
              <w:rPr>
                <w:rFonts w:ascii="Times New Roman" w:hAnsi="Times New Roman" w:eastAsia="Times New Roman" w:cs="Times New Roman"/>
              </w:rPr>
            </w:pPr>
            <w:r>
              <w:rPr>
                <w:rFonts w:ascii="Times New Roman" w:hAnsi="Times New Roman" w:eastAsia="Times New Roman" w:cs="Times New Roman"/>
                <w:strike/>
                <w:spacing w:val="-6"/>
              </w:rPr>
              <w:t>D</w:t>
            </w:r>
            <w:r>
              <w:rPr>
                <w:rFonts w:ascii="Times New Roman" w:hAnsi="Times New Roman" w:eastAsia="Times New Roman" w:cs="Times New Roman"/>
                <w:strike/>
                <w:spacing w:val="-27"/>
              </w:rPr>
              <w:t xml:space="preserve"> </w:t>
            </w:r>
            <w:r>
              <w:rPr>
                <w:strike/>
                <w:spacing w:val="-6"/>
              </w:rPr>
              <w:t>≤</w:t>
            </w:r>
            <w:r>
              <w:rPr>
                <w:rFonts w:ascii="Times New Roman" w:hAnsi="Times New Roman" w:eastAsia="Times New Roman" w:cs="Times New Roman"/>
                <w:strike/>
                <w:spacing w:val="-6"/>
              </w:rPr>
              <w:t>2.5</w:t>
            </w:r>
          </w:p>
        </w:tc>
        <w:tc>
          <w:tcPr>
            <w:tcW w:w="885" w:type="dxa"/>
            <w:vAlign w:val="top"/>
          </w:tcPr>
          <w:p w14:paraId="2FD7E8D9">
            <w:pPr>
              <w:pStyle w:val="6"/>
              <w:spacing w:before="108" w:line="216" w:lineRule="auto"/>
              <w:ind w:left="131"/>
              <w:rPr>
                <w:rFonts w:ascii="Times New Roman" w:hAnsi="Times New Roman" w:eastAsia="Times New Roman" w:cs="Times New Roman"/>
              </w:rPr>
            </w:pPr>
            <w:r>
              <w:rPr>
                <w:rFonts w:ascii="Times New Roman" w:hAnsi="Times New Roman" w:eastAsia="Times New Roman" w:cs="Times New Roman"/>
                <w:strike/>
                <w:spacing w:val="-6"/>
              </w:rPr>
              <w:t>D</w:t>
            </w:r>
            <w:r>
              <w:rPr>
                <w:rFonts w:ascii="Times New Roman" w:hAnsi="Times New Roman" w:eastAsia="Times New Roman" w:cs="Times New Roman"/>
                <w:strike/>
                <w:spacing w:val="-26"/>
              </w:rPr>
              <w:t xml:space="preserve"> </w:t>
            </w:r>
            <w:r>
              <w:rPr>
                <w:strike/>
                <w:spacing w:val="-6"/>
              </w:rPr>
              <w:t>＞</w:t>
            </w:r>
            <w:r>
              <w:rPr>
                <w:rFonts w:ascii="Times New Roman" w:hAnsi="Times New Roman" w:eastAsia="Times New Roman" w:cs="Times New Roman"/>
                <w:strike/>
                <w:spacing w:val="-6"/>
              </w:rPr>
              <w:t>2.5</w:t>
            </w:r>
          </w:p>
        </w:tc>
        <w:tc>
          <w:tcPr>
            <w:tcW w:w="854" w:type="dxa"/>
            <w:gridSpan w:val="2"/>
            <w:vAlign w:val="top"/>
          </w:tcPr>
          <w:p w14:paraId="4A7BB741">
            <w:pPr>
              <w:pStyle w:val="6"/>
              <w:spacing w:before="108" w:line="216" w:lineRule="auto"/>
              <w:ind w:left="116"/>
              <w:rPr>
                <w:rFonts w:ascii="Times New Roman" w:hAnsi="Times New Roman" w:eastAsia="Times New Roman" w:cs="Times New Roman"/>
              </w:rPr>
            </w:pPr>
            <w:r>
              <w:rPr>
                <w:rFonts w:ascii="Times New Roman" w:hAnsi="Times New Roman" w:eastAsia="Times New Roman" w:cs="Times New Roman"/>
                <w:strike/>
                <w:spacing w:val="-6"/>
              </w:rPr>
              <w:t>D</w:t>
            </w:r>
            <w:r>
              <w:rPr>
                <w:rFonts w:ascii="Times New Roman" w:hAnsi="Times New Roman" w:eastAsia="Times New Roman" w:cs="Times New Roman"/>
                <w:strike/>
                <w:spacing w:val="-27"/>
              </w:rPr>
              <w:t xml:space="preserve"> </w:t>
            </w:r>
            <w:r>
              <w:rPr>
                <w:strike/>
                <w:spacing w:val="-6"/>
              </w:rPr>
              <w:t>≤</w:t>
            </w:r>
            <w:r>
              <w:rPr>
                <w:rFonts w:ascii="Times New Roman" w:hAnsi="Times New Roman" w:eastAsia="Times New Roman" w:cs="Times New Roman"/>
                <w:strike/>
                <w:spacing w:val="-6"/>
              </w:rPr>
              <w:t>2.5</w:t>
            </w:r>
          </w:p>
        </w:tc>
        <w:tc>
          <w:tcPr>
            <w:tcW w:w="885" w:type="dxa"/>
            <w:vAlign w:val="top"/>
          </w:tcPr>
          <w:p w14:paraId="211621B0">
            <w:pPr>
              <w:pStyle w:val="6"/>
              <w:spacing w:before="108" w:line="216" w:lineRule="auto"/>
              <w:ind w:left="132"/>
              <w:rPr>
                <w:rFonts w:ascii="Times New Roman" w:hAnsi="Times New Roman" w:eastAsia="Times New Roman" w:cs="Times New Roman"/>
              </w:rPr>
            </w:pPr>
            <w:r>
              <w:rPr>
                <w:rFonts w:ascii="Times New Roman" w:hAnsi="Times New Roman" w:eastAsia="Times New Roman" w:cs="Times New Roman"/>
                <w:strike/>
                <w:spacing w:val="-6"/>
              </w:rPr>
              <w:t>D</w:t>
            </w:r>
            <w:r>
              <w:rPr>
                <w:rFonts w:ascii="Times New Roman" w:hAnsi="Times New Roman" w:eastAsia="Times New Roman" w:cs="Times New Roman"/>
                <w:strike/>
                <w:spacing w:val="-26"/>
              </w:rPr>
              <w:t xml:space="preserve"> </w:t>
            </w:r>
            <w:r>
              <w:rPr>
                <w:strike/>
                <w:spacing w:val="-6"/>
              </w:rPr>
              <w:t>＞</w:t>
            </w:r>
            <w:r>
              <w:rPr>
                <w:rFonts w:ascii="Times New Roman" w:hAnsi="Times New Roman" w:eastAsia="Times New Roman" w:cs="Times New Roman"/>
                <w:strike/>
                <w:spacing w:val="-6"/>
              </w:rPr>
              <w:t>2.5</w:t>
            </w:r>
          </w:p>
        </w:tc>
        <w:tc>
          <w:tcPr>
            <w:tcW w:w="869" w:type="dxa"/>
            <w:vMerge w:val="continue"/>
            <w:tcBorders>
              <w:top w:val="nil"/>
            </w:tcBorders>
            <w:vAlign w:val="top"/>
          </w:tcPr>
          <w:p w14:paraId="65173C47">
            <w:pPr>
              <w:rPr>
                <w:rFonts w:ascii="Arial"/>
                <w:sz w:val="21"/>
              </w:rPr>
            </w:pPr>
          </w:p>
        </w:tc>
        <w:tc>
          <w:tcPr>
            <w:tcW w:w="860" w:type="dxa"/>
            <w:vMerge w:val="continue"/>
            <w:tcBorders>
              <w:top w:val="nil"/>
            </w:tcBorders>
            <w:vAlign w:val="top"/>
          </w:tcPr>
          <w:p w14:paraId="561D9D35">
            <w:pPr>
              <w:rPr>
                <w:rFonts w:ascii="Arial"/>
                <w:sz w:val="21"/>
              </w:rPr>
            </w:pPr>
          </w:p>
        </w:tc>
      </w:tr>
      <w:tr w14:paraId="2C6A7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505" w:type="dxa"/>
            <w:vAlign w:val="top"/>
          </w:tcPr>
          <w:p w14:paraId="0339968E">
            <w:pPr>
              <w:pStyle w:val="6"/>
              <w:spacing w:before="110" w:line="220" w:lineRule="auto"/>
              <w:ind w:left="236"/>
              <w:rPr>
                <w:rFonts w:ascii="Times New Roman" w:hAnsi="Times New Roman" w:eastAsia="Times New Roman" w:cs="Times New Roman"/>
              </w:rPr>
            </w:pPr>
            <w:r>
              <w:rPr>
                <w:strike/>
                <w:spacing w:val="-2"/>
              </w:rPr>
              <w:t>严寒地区</w:t>
            </w:r>
            <w:r>
              <w:rPr>
                <w:strike/>
                <w:spacing w:val="-51"/>
              </w:rPr>
              <w:t xml:space="preserve"> </w:t>
            </w:r>
            <w:r>
              <w:rPr>
                <w:rFonts w:ascii="Times New Roman" w:hAnsi="Times New Roman" w:eastAsia="Times New Roman" w:cs="Times New Roman"/>
                <w:strike/>
                <w:spacing w:val="-2"/>
              </w:rPr>
              <w:t>A</w:t>
            </w:r>
          </w:p>
          <w:p w14:paraId="15210EAA">
            <w:pPr>
              <w:pStyle w:val="6"/>
              <w:spacing w:before="109" w:line="215" w:lineRule="auto"/>
              <w:ind w:left="669"/>
            </w:pPr>
            <w:r>
              <w:rPr>
                <w:strike/>
              </w:rPr>
              <w:t>区</w:t>
            </w:r>
          </w:p>
        </w:tc>
        <w:tc>
          <w:tcPr>
            <w:tcW w:w="1005" w:type="dxa"/>
            <w:vAlign w:val="top"/>
          </w:tcPr>
          <w:p w14:paraId="2DBE6266">
            <w:pPr>
              <w:spacing w:before="148" w:line="186" w:lineRule="auto"/>
              <w:ind w:left="32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20</w:t>
            </w:r>
          </w:p>
        </w:tc>
        <w:tc>
          <w:tcPr>
            <w:tcW w:w="764" w:type="dxa"/>
            <w:vAlign w:val="top"/>
          </w:tcPr>
          <w:p w14:paraId="7FB53663">
            <w:pPr>
              <w:spacing w:before="148" w:line="186" w:lineRule="auto"/>
              <w:ind w:left="200"/>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25</w:t>
            </w:r>
          </w:p>
        </w:tc>
        <w:tc>
          <w:tcPr>
            <w:tcW w:w="899" w:type="dxa"/>
            <w:vAlign w:val="top"/>
          </w:tcPr>
          <w:p w14:paraId="7E5EC3C8">
            <w:pPr>
              <w:pStyle w:val="6"/>
              <w:spacing w:before="210" w:line="8" w:lineRule="exact"/>
              <w:ind w:left="243"/>
            </w:pPr>
            <w:r>
              <w:pict>
                <v:shape id="_x0000_s1135" o:spid="_x0000_s1135" o:spt="202" type="#_x0000_t202" style="position:absolute;left:0pt;margin-left:10.85pt;margin-top:1.25pt;height:14.1pt;width:23pt;z-index:251725824;mso-width-relative:page;mso-height-relative:page;" filled="f" stroked="f" coordsize="21600,21600">
                  <v:path/>
                  <v:fill on="f" focussize="0,0"/>
                  <v:stroke on="f"/>
                  <v:imagedata o:title=""/>
                  <o:lock v:ext="edit" aspectratio="f"/>
                  <v:textbox inset="0mm,0mm,0mm,0mm">
                    <w:txbxContent>
                      <w:p w14:paraId="7D51C361">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05C24430">
            <w:pPr>
              <w:pStyle w:val="6"/>
              <w:spacing w:before="210" w:line="8" w:lineRule="exact"/>
              <w:ind w:left="236"/>
            </w:pPr>
            <w:r>
              <w:pict>
                <v:shape id="_x0000_s1136" o:spid="_x0000_s1136" o:spt="202" type="#_x0000_t202" style="position:absolute;left:0pt;margin-left:10.45pt;margin-top:1.25pt;height:14.1pt;width:23pt;z-index:251724800;mso-width-relative:page;mso-height-relative:page;" filled="f" stroked="f" coordsize="21600,21600">
                  <v:path/>
                  <v:fill on="f" focussize="0,0"/>
                  <v:stroke on="f"/>
                  <v:imagedata o:title=""/>
                  <o:lock v:ext="edit" aspectratio="f"/>
                  <v:textbox inset="0mm,0mm,0mm,0mm">
                    <w:txbxContent>
                      <w:p w14:paraId="0E0B3B5F">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54" w:type="dxa"/>
            <w:gridSpan w:val="2"/>
            <w:vAlign w:val="top"/>
          </w:tcPr>
          <w:p w14:paraId="2B3F79D8">
            <w:pPr>
              <w:pStyle w:val="6"/>
              <w:spacing w:before="210" w:line="8" w:lineRule="exact"/>
              <w:ind w:left="221"/>
            </w:pPr>
            <w:r>
              <w:pict>
                <v:shape id="_x0000_s1137" o:spid="_x0000_s1137" o:spt="202" type="#_x0000_t202" style="position:absolute;left:0pt;margin-left:9.7pt;margin-top:1.25pt;height:14.1pt;width:23.05pt;z-index:251723776;mso-width-relative:page;mso-height-relative:page;" filled="f" stroked="f" coordsize="21600,21600">
                  <v:path/>
                  <v:fill on="f" focussize="0,0"/>
                  <v:stroke on="f"/>
                  <v:imagedata o:title=""/>
                  <o:lock v:ext="edit" aspectratio="f"/>
                  <v:textbox inset="0mm,0mm,0mm,0mm">
                    <w:txbxContent>
                      <w:p w14:paraId="7CEEEF06">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4605AA2E">
            <w:pPr>
              <w:pStyle w:val="6"/>
              <w:spacing w:before="210" w:line="8" w:lineRule="exact"/>
              <w:ind w:left="237"/>
            </w:pPr>
            <w:r>
              <w:pict>
                <v:shape id="_x0000_s1138" o:spid="_x0000_s1138" o:spt="202" type="#_x0000_t202" style="position:absolute;left:0pt;margin-left:10.5pt;margin-top:1.25pt;height:14.1pt;width:23pt;z-index:251722752;mso-width-relative:page;mso-height-relative:page;" filled="f" stroked="f" coordsize="21600,21600">
                  <v:path/>
                  <v:fill on="f" focussize="0,0"/>
                  <v:stroke on="f"/>
                  <v:imagedata o:title=""/>
                  <o:lock v:ext="edit" aspectratio="f"/>
                  <v:textbox inset="0mm,0mm,0mm,0mm">
                    <w:txbxContent>
                      <w:p w14:paraId="14EDF49F">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9" w:type="dxa"/>
            <w:vAlign w:val="top"/>
          </w:tcPr>
          <w:p w14:paraId="224F4D8B">
            <w:pPr>
              <w:pStyle w:val="6"/>
              <w:spacing w:before="210" w:line="8" w:lineRule="exact"/>
              <w:ind w:left="229"/>
            </w:pPr>
            <w:r>
              <w:pict>
                <v:shape id="_x0000_s1139" o:spid="_x0000_s1139" o:spt="202" type="#_x0000_t202" style="position:absolute;left:0pt;margin-left:10.1pt;margin-top:1.25pt;height:14.1pt;width:23pt;z-index:251727872;mso-width-relative:page;mso-height-relative:page;" filled="f" stroked="f" coordsize="21600,21600">
                  <v:path/>
                  <v:fill on="f" focussize="0,0"/>
                  <v:stroke on="f"/>
                  <v:imagedata o:title=""/>
                  <o:lock v:ext="edit" aspectratio="f"/>
                  <v:textbox inset="0mm,0mm,0mm,0mm">
                    <w:txbxContent>
                      <w:p w14:paraId="509AE5C9">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0" w:type="dxa"/>
            <w:vAlign w:val="top"/>
          </w:tcPr>
          <w:p w14:paraId="78D163B8">
            <w:pPr>
              <w:pStyle w:val="6"/>
              <w:spacing w:before="210" w:line="8" w:lineRule="exact"/>
              <w:ind w:left="223"/>
            </w:pPr>
            <w:r>
              <w:pict>
                <v:shape id="_x0000_s1140" o:spid="_x0000_s1140" o:spt="202" type="#_x0000_t202" style="position:absolute;left:0pt;margin-left:9.8pt;margin-top:1.25pt;height:14.1pt;width:23.05pt;z-index:251726848;mso-width-relative:page;mso-height-relative:page;" filled="f" stroked="f" coordsize="21600,21600">
                  <v:path/>
                  <v:fill on="f" focussize="0,0"/>
                  <v:stroke on="f"/>
                  <v:imagedata o:title=""/>
                  <o:lock v:ext="edit" aspectratio="f"/>
                  <v:textbox inset="0mm,0mm,0mm,0mm">
                    <w:txbxContent>
                      <w:p w14:paraId="71231A33">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06029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505" w:type="dxa"/>
            <w:vAlign w:val="top"/>
          </w:tcPr>
          <w:p w14:paraId="11C60E18">
            <w:pPr>
              <w:pStyle w:val="6"/>
              <w:spacing w:before="110" w:line="220" w:lineRule="auto"/>
              <w:ind w:left="242"/>
              <w:rPr>
                <w:rFonts w:ascii="Times New Roman" w:hAnsi="Times New Roman" w:eastAsia="Times New Roman" w:cs="Times New Roman"/>
              </w:rPr>
            </w:pPr>
            <w:r>
              <w:rPr>
                <w:strike/>
                <w:spacing w:val="-2"/>
              </w:rPr>
              <w:t>严寒地区</w:t>
            </w:r>
            <w:r>
              <w:rPr>
                <w:strike/>
                <w:spacing w:val="-49"/>
              </w:rPr>
              <w:t xml:space="preserve"> </w:t>
            </w:r>
            <w:r>
              <w:rPr>
                <w:rFonts w:ascii="Times New Roman" w:hAnsi="Times New Roman" w:eastAsia="Times New Roman" w:cs="Times New Roman"/>
                <w:strike/>
                <w:spacing w:val="-2"/>
              </w:rPr>
              <w:t>B</w:t>
            </w:r>
          </w:p>
          <w:p w14:paraId="48F897CA">
            <w:pPr>
              <w:pStyle w:val="6"/>
              <w:spacing w:before="110" w:line="214" w:lineRule="auto"/>
              <w:ind w:left="669"/>
            </w:pPr>
            <w:r>
              <w:rPr>
                <w:strike/>
              </w:rPr>
              <w:t>区</w:t>
            </w:r>
          </w:p>
        </w:tc>
        <w:tc>
          <w:tcPr>
            <w:tcW w:w="1005" w:type="dxa"/>
            <w:vAlign w:val="top"/>
          </w:tcPr>
          <w:p w14:paraId="56DDED5E">
            <w:pPr>
              <w:spacing w:before="148" w:line="186" w:lineRule="auto"/>
              <w:ind w:left="32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25</w:t>
            </w:r>
          </w:p>
        </w:tc>
        <w:tc>
          <w:tcPr>
            <w:tcW w:w="764" w:type="dxa"/>
            <w:vAlign w:val="top"/>
          </w:tcPr>
          <w:p w14:paraId="0E2C2562">
            <w:pPr>
              <w:spacing w:before="148" w:line="186" w:lineRule="auto"/>
              <w:ind w:left="200"/>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30</w:t>
            </w:r>
          </w:p>
        </w:tc>
        <w:tc>
          <w:tcPr>
            <w:tcW w:w="899" w:type="dxa"/>
            <w:vAlign w:val="top"/>
          </w:tcPr>
          <w:p w14:paraId="3576B907">
            <w:pPr>
              <w:pStyle w:val="6"/>
              <w:spacing w:before="209" w:line="9" w:lineRule="exact"/>
              <w:ind w:left="243"/>
            </w:pPr>
            <w:r>
              <w:pict>
                <v:shape id="_x0000_s1141" o:spid="_x0000_s1141" o:spt="202" type="#_x0000_t202" style="position:absolute;left:0pt;margin-left:10.85pt;margin-top:1.25pt;height:14.1pt;width:23pt;z-index:251714560;mso-width-relative:page;mso-height-relative:page;" filled="f" stroked="f" coordsize="21600,21600">
                  <v:path/>
                  <v:fill on="f" focussize="0,0"/>
                  <v:stroke on="f"/>
                  <v:imagedata o:title=""/>
                  <o:lock v:ext="edit" aspectratio="f"/>
                  <v:textbox inset="0mm,0mm,0mm,0mm">
                    <w:txbxContent>
                      <w:p w14:paraId="2B4AE768">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272A9E0A">
            <w:pPr>
              <w:pStyle w:val="6"/>
              <w:spacing w:before="209" w:line="9" w:lineRule="exact"/>
              <w:ind w:left="236"/>
            </w:pPr>
            <w:r>
              <w:pict>
                <v:shape id="_x0000_s1142" o:spid="_x0000_s1142" o:spt="202" type="#_x0000_t202" style="position:absolute;left:0pt;margin-left:10.45pt;margin-top:1.25pt;height:14.1pt;width:23pt;z-index:251713536;mso-width-relative:page;mso-height-relative:page;" filled="f" stroked="f" coordsize="21600,21600">
                  <v:path/>
                  <v:fill on="f" focussize="0,0"/>
                  <v:stroke on="f"/>
                  <v:imagedata o:title=""/>
                  <o:lock v:ext="edit" aspectratio="f"/>
                  <v:textbox inset="0mm,0mm,0mm,0mm">
                    <w:txbxContent>
                      <w:p w14:paraId="3B870D0A">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54" w:type="dxa"/>
            <w:gridSpan w:val="2"/>
            <w:vAlign w:val="top"/>
          </w:tcPr>
          <w:p w14:paraId="2303A8C1">
            <w:pPr>
              <w:pStyle w:val="6"/>
              <w:spacing w:before="209" w:line="9" w:lineRule="exact"/>
              <w:ind w:left="221"/>
            </w:pPr>
            <w:r>
              <w:pict>
                <v:shape id="_x0000_s1143" o:spid="_x0000_s1143" o:spt="202" type="#_x0000_t202" style="position:absolute;left:0pt;margin-left:9.7pt;margin-top:1.25pt;height:14.1pt;width:23.05pt;z-index:251712512;mso-width-relative:page;mso-height-relative:page;" filled="f" stroked="f" coordsize="21600,21600">
                  <v:path/>
                  <v:fill on="f" focussize="0,0"/>
                  <v:stroke on="f"/>
                  <v:imagedata o:title=""/>
                  <o:lock v:ext="edit" aspectratio="f"/>
                  <v:textbox inset="0mm,0mm,0mm,0mm">
                    <w:txbxContent>
                      <w:p w14:paraId="2CB40205">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1334E9E1">
            <w:pPr>
              <w:pStyle w:val="6"/>
              <w:spacing w:before="209" w:line="9" w:lineRule="exact"/>
              <w:ind w:left="237"/>
            </w:pPr>
            <w:r>
              <w:pict>
                <v:shape id="_x0000_s1144" o:spid="_x0000_s1144" o:spt="202" type="#_x0000_t202" style="position:absolute;left:0pt;margin-left:10.5pt;margin-top:1.25pt;height:14.1pt;width:23pt;z-index:251717632;mso-width-relative:page;mso-height-relative:page;" filled="f" stroked="f" coordsize="21600,21600">
                  <v:path/>
                  <v:fill on="f" focussize="0,0"/>
                  <v:stroke on="f"/>
                  <v:imagedata o:title=""/>
                  <o:lock v:ext="edit" aspectratio="f"/>
                  <v:textbox inset="0mm,0mm,0mm,0mm">
                    <w:txbxContent>
                      <w:p w14:paraId="1036B06B">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9" w:type="dxa"/>
            <w:vAlign w:val="top"/>
          </w:tcPr>
          <w:p w14:paraId="45F81453">
            <w:pPr>
              <w:pStyle w:val="6"/>
              <w:spacing w:before="209" w:line="9" w:lineRule="exact"/>
              <w:ind w:left="229"/>
            </w:pPr>
            <w:r>
              <w:pict>
                <v:shape id="_x0000_s1145" o:spid="_x0000_s1145" o:spt="202" type="#_x0000_t202" style="position:absolute;left:0pt;margin-left:10.1pt;margin-top:1.25pt;height:14.1pt;width:23pt;z-index:251721728;mso-width-relative:page;mso-height-relative:page;" filled="f" stroked="f" coordsize="21600,21600">
                  <v:path/>
                  <v:fill on="f" focussize="0,0"/>
                  <v:stroke on="f"/>
                  <v:imagedata o:title=""/>
                  <o:lock v:ext="edit" aspectratio="f"/>
                  <v:textbox inset="0mm,0mm,0mm,0mm">
                    <w:txbxContent>
                      <w:p w14:paraId="7B3E7F94">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0" w:type="dxa"/>
            <w:vAlign w:val="top"/>
          </w:tcPr>
          <w:p w14:paraId="18ED45D9">
            <w:pPr>
              <w:pStyle w:val="6"/>
              <w:spacing w:before="209" w:line="9" w:lineRule="exact"/>
              <w:ind w:left="223"/>
            </w:pPr>
            <w:r>
              <w:pict>
                <v:shape id="_x0000_s1146" o:spid="_x0000_s1146" o:spt="202" type="#_x0000_t202" style="position:absolute;left:0pt;margin-left:9.8pt;margin-top:1.25pt;height:14.1pt;width:23.05pt;z-index:251720704;mso-width-relative:page;mso-height-relative:page;" filled="f" stroked="f" coordsize="21600,21600">
                  <v:path/>
                  <v:fill on="f" focussize="0,0"/>
                  <v:stroke on="f"/>
                  <v:imagedata o:title=""/>
                  <o:lock v:ext="edit" aspectratio="f"/>
                  <v:textbox inset="0mm,0mm,0mm,0mm">
                    <w:txbxContent>
                      <w:p w14:paraId="2C1C75A2">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54A68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1505" w:type="dxa"/>
            <w:vAlign w:val="top"/>
          </w:tcPr>
          <w:p w14:paraId="1DAA84F3">
            <w:pPr>
              <w:pStyle w:val="6"/>
              <w:spacing w:before="110" w:line="220" w:lineRule="auto"/>
              <w:ind w:left="242"/>
              <w:rPr>
                <w:rFonts w:ascii="Times New Roman" w:hAnsi="Times New Roman" w:eastAsia="Times New Roman" w:cs="Times New Roman"/>
              </w:rPr>
            </w:pPr>
            <w:r>
              <w:rPr>
                <w:strike/>
                <w:spacing w:val="-2"/>
              </w:rPr>
              <w:t>严寒地区</w:t>
            </w:r>
            <w:r>
              <w:rPr>
                <w:strike/>
                <w:spacing w:val="-45"/>
              </w:rPr>
              <w:t xml:space="preserve"> </w:t>
            </w:r>
            <w:r>
              <w:rPr>
                <w:rFonts w:ascii="Times New Roman" w:hAnsi="Times New Roman" w:eastAsia="Times New Roman" w:cs="Times New Roman"/>
                <w:strike/>
                <w:spacing w:val="-2"/>
              </w:rPr>
              <w:t>C</w:t>
            </w:r>
          </w:p>
          <w:p w14:paraId="53F756B9">
            <w:pPr>
              <w:pStyle w:val="6"/>
              <w:spacing w:before="109" w:line="214" w:lineRule="auto"/>
              <w:ind w:left="669"/>
            </w:pPr>
            <w:r>
              <w:rPr>
                <w:strike/>
              </w:rPr>
              <w:t>区</w:t>
            </w:r>
          </w:p>
        </w:tc>
        <w:tc>
          <w:tcPr>
            <w:tcW w:w="1005" w:type="dxa"/>
            <w:vAlign w:val="top"/>
          </w:tcPr>
          <w:p w14:paraId="5887F7D9">
            <w:pPr>
              <w:spacing w:before="149" w:line="186" w:lineRule="auto"/>
              <w:ind w:left="32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30</w:t>
            </w:r>
          </w:p>
        </w:tc>
        <w:tc>
          <w:tcPr>
            <w:tcW w:w="764" w:type="dxa"/>
            <w:vAlign w:val="top"/>
          </w:tcPr>
          <w:p w14:paraId="1816EF91">
            <w:pPr>
              <w:spacing w:before="149" w:line="186" w:lineRule="auto"/>
              <w:ind w:left="200"/>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40</w:t>
            </w:r>
          </w:p>
        </w:tc>
        <w:tc>
          <w:tcPr>
            <w:tcW w:w="899" w:type="dxa"/>
            <w:vAlign w:val="top"/>
          </w:tcPr>
          <w:p w14:paraId="6D8B57F7">
            <w:pPr>
              <w:pStyle w:val="6"/>
              <w:spacing w:before="210" w:line="8" w:lineRule="exact"/>
              <w:ind w:left="243"/>
            </w:pPr>
            <w:r>
              <w:pict>
                <v:shape id="_x0000_s1147" o:spid="_x0000_s1147" o:spt="202" type="#_x0000_t202" style="position:absolute;left:0pt;margin-left:10.85pt;margin-top:1.3pt;height:14.1pt;width:23pt;z-index:251719680;mso-width-relative:page;mso-height-relative:page;" filled="f" stroked="f" coordsize="21600,21600">
                  <v:path/>
                  <v:fill on="f" focussize="0,0"/>
                  <v:stroke on="f"/>
                  <v:imagedata o:title=""/>
                  <o:lock v:ext="edit" aspectratio="f"/>
                  <v:textbox inset="0mm,0mm,0mm,0mm">
                    <w:txbxContent>
                      <w:p w14:paraId="6142F988">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356D8651">
            <w:pPr>
              <w:pStyle w:val="6"/>
              <w:spacing w:before="210" w:line="8" w:lineRule="exact"/>
              <w:ind w:left="236"/>
            </w:pPr>
            <w:r>
              <w:pict>
                <v:shape id="_x0000_s1148" o:spid="_x0000_s1148" o:spt="202" type="#_x0000_t202" style="position:absolute;left:0pt;margin-left:10.45pt;margin-top:1.3pt;height:14.1pt;width:23pt;z-index:251718656;mso-width-relative:page;mso-height-relative:page;" filled="f" stroked="f" coordsize="21600,21600">
                  <v:path/>
                  <v:fill on="f" focussize="0,0"/>
                  <v:stroke on="f"/>
                  <v:imagedata o:title=""/>
                  <o:lock v:ext="edit" aspectratio="f"/>
                  <v:textbox inset="0mm,0mm,0mm,0mm">
                    <w:txbxContent>
                      <w:p w14:paraId="2FEC5D04">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54" w:type="dxa"/>
            <w:gridSpan w:val="2"/>
            <w:vAlign w:val="top"/>
          </w:tcPr>
          <w:p w14:paraId="482F4760">
            <w:pPr>
              <w:pStyle w:val="6"/>
              <w:spacing w:before="210" w:line="8" w:lineRule="exact"/>
              <w:ind w:left="221"/>
            </w:pPr>
            <w:r>
              <w:pict>
                <v:shape id="_x0000_s1149" o:spid="_x0000_s1149" o:spt="202" type="#_x0000_t202" style="position:absolute;left:0pt;margin-left:9.7pt;margin-top:1.3pt;height:14.1pt;width:23.05pt;z-index:251716608;mso-width-relative:page;mso-height-relative:page;" filled="f" stroked="f" coordsize="21600,21600">
                  <v:path/>
                  <v:fill on="f" focussize="0,0"/>
                  <v:stroke on="f"/>
                  <v:imagedata o:title=""/>
                  <o:lock v:ext="edit" aspectratio="f"/>
                  <v:textbox inset="0mm,0mm,0mm,0mm">
                    <w:txbxContent>
                      <w:p w14:paraId="5A84672A">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473B9BD9">
            <w:pPr>
              <w:pStyle w:val="6"/>
              <w:spacing w:before="210" w:line="8" w:lineRule="exact"/>
              <w:ind w:left="237"/>
            </w:pPr>
            <w:r>
              <w:pict>
                <v:shape id="_x0000_s1150" o:spid="_x0000_s1150" o:spt="202" type="#_x0000_t202" style="position:absolute;left:0pt;margin-left:10.5pt;margin-top:1.3pt;height:14.1pt;width:23pt;z-index:251715584;mso-width-relative:page;mso-height-relative:page;" filled="f" stroked="f" coordsize="21600,21600">
                  <v:path/>
                  <v:fill on="f" focussize="0,0"/>
                  <v:stroke on="f"/>
                  <v:imagedata o:title=""/>
                  <o:lock v:ext="edit" aspectratio="f"/>
                  <v:textbox inset="0mm,0mm,0mm,0mm">
                    <w:txbxContent>
                      <w:p w14:paraId="068D5B86">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9" w:type="dxa"/>
            <w:vAlign w:val="top"/>
          </w:tcPr>
          <w:p w14:paraId="7415A5FC">
            <w:pPr>
              <w:pStyle w:val="6"/>
              <w:spacing w:before="210" w:line="8" w:lineRule="exact"/>
              <w:ind w:left="229"/>
            </w:pPr>
            <w:r>
              <w:pict>
                <v:shape id="_x0000_s1151" o:spid="_x0000_s1151" o:spt="202" type="#_x0000_t202" style="position:absolute;left:0pt;margin-left:10.1pt;margin-top:1.3pt;height:14.1pt;width:23pt;z-index:251707392;mso-width-relative:page;mso-height-relative:page;" filled="f" stroked="f" coordsize="21600,21600">
                  <v:path/>
                  <v:fill on="f" focussize="0,0"/>
                  <v:stroke on="f"/>
                  <v:imagedata o:title=""/>
                  <o:lock v:ext="edit" aspectratio="f"/>
                  <v:textbox inset="0mm,0mm,0mm,0mm">
                    <w:txbxContent>
                      <w:p w14:paraId="093C153C">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0" w:type="dxa"/>
            <w:vAlign w:val="top"/>
          </w:tcPr>
          <w:p w14:paraId="4C0A740C">
            <w:pPr>
              <w:pStyle w:val="6"/>
              <w:spacing w:before="210" w:line="8" w:lineRule="exact"/>
              <w:ind w:left="223"/>
            </w:pPr>
            <w:r>
              <w:pict>
                <v:shape id="_x0000_s1152" o:spid="_x0000_s1152" o:spt="202" type="#_x0000_t202" style="position:absolute;left:0pt;margin-left:9.8pt;margin-top:1.3pt;height:14.1pt;width:23.05pt;z-index:251703296;mso-width-relative:page;mso-height-relative:page;" filled="f" stroked="f" coordsize="21600,21600">
                  <v:path/>
                  <v:fill on="f" focussize="0,0"/>
                  <v:stroke on="f"/>
                  <v:imagedata o:title=""/>
                  <o:lock v:ext="edit" aspectratio="f"/>
                  <v:textbox inset="0mm,0mm,0mm,0mm">
                    <w:txbxContent>
                      <w:p w14:paraId="09B0F4BA">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1DF7C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trPr>
        <w:tc>
          <w:tcPr>
            <w:tcW w:w="1505" w:type="dxa"/>
            <w:vAlign w:val="top"/>
          </w:tcPr>
          <w:p w14:paraId="1CB640A3">
            <w:pPr>
              <w:pStyle w:val="6"/>
              <w:spacing w:before="112" w:line="222" w:lineRule="auto"/>
              <w:ind w:left="237"/>
              <w:rPr>
                <w:rFonts w:ascii="Times New Roman" w:hAnsi="Times New Roman" w:eastAsia="Times New Roman" w:cs="Times New Roman"/>
              </w:rPr>
            </w:pPr>
            <w:r>
              <w:rPr>
                <w:strike/>
                <w:spacing w:val="-2"/>
              </w:rPr>
              <w:t>寒冷地区</w:t>
            </w:r>
            <w:r>
              <w:rPr>
                <w:strike/>
                <w:spacing w:val="-51"/>
              </w:rPr>
              <w:t xml:space="preserve"> </w:t>
            </w:r>
            <w:r>
              <w:rPr>
                <w:rFonts w:ascii="Times New Roman" w:hAnsi="Times New Roman" w:eastAsia="Times New Roman" w:cs="Times New Roman"/>
                <w:strike/>
                <w:spacing w:val="-2"/>
              </w:rPr>
              <w:t>A</w:t>
            </w:r>
          </w:p>
          <w:p w14:paraId="0791B53C">
            <w:pPr>
              <w:pStyle w:val="6"/>
              <w:spacing w:before="107" w:line="225" w:lineRule="auto"/>
              <w:ind w:left="669"/>
            </w:pPr>
            <w:r>
              <w:rPr>
                <w:strike/>
              </w:rPr>
              <w:t>区</w:t>
            </w:r>
          </w:p>
          <w:p w14:paraId="6B85CF69">
            <w:pPr>
              <w:pStyle w:val="6"/>
              <w:spacing w:before="104" w:line="222" w:lineRule="auto"/>
              <w:ind w:left="243"/>
              <w:rPr>
                <w:rFonts w:ascii="Times New Roman" w:hAnsi="Times New Roman" w:eastAsia="Times New Roman" w:cs="Times New Roman"/>
              </w:rPr>
            </w:pPr>
            <w:r>
              <w:rPr>
                <w:strike/>
                <w:spacing w:val="-2"/>
              </w:rPr>
              <w:t>寒冷地区</w:t>
            </w:r>
            <w:r>
              <w:rPr>
                <w:strike/>
                <w:spacing w:val="-49"/>
              </w:rPr>
              <w:t xml:space="preserve"> </w:t>
            </w:r>
            <w:r>
              <w:rPr>
                <w:rFonts w:ascii="Times New Roman" w:hAnsi="Times New Roman" w:eastAsia="Times New Roman" w:cs="Times New Roman"/>
                <w:strike/>
                <w:spacing w:val="-2"/>
              </w:rPr>
              <w:t>B</w:t>
            </w:r>
          </w:p>
          <w:p w14:paraId="5181F335">
            <w:pPr>
              <w:pStyle w:val="6"/>
              <w:spacing w:before="108" w:line="213" w:lineRule="auto"/>
              <w:ind w:left="669"/>
            </w:pPr>
            <w:r>
              <w:rPr>
                <w:strike/>
              </w:rPr>
              <w:t>区</w:t>
            </w:r>
          </w:p>
        </w:tc>
        <w:tc>
          <w:tcPr>
            <w:tcW w:w="1005" w:type="dxa"/>
            <w:vAlign w:val="top"/>
          </w:tcPr>
          <w:p w14:paraId="0D1A27A0">
            <w:pPr>
              <w:spacing w:before="150" w:line="186" w:lineRule="auto"/>
              <w:ind w:left="32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35</w:t>
            </w:r>
          </w:p>
        </w:tc>
        <w:tc>
          <w:tcPr>
            <w:tcW w:w="764" w:type="dxa"/>
            <w:vAlign w:val="top"/>
          </w:tcPr>
          <w:p w14:paraId="424F4A95">
            <w:pPr>
              <w:spacing w:before="150" w:line="186" w:lineRule="auto"/>
              <w:ind w:left="200"/>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45</w:t>
            </w:r>
          </w:p>
        </w:tc>
        <w:tc>
          <w:tcPr>
            <w:tcW w:w="899" w:type="dxa"/>
            <w:vAlign w:val="top"/>
          </w:tcPr>
          <w:p w14:paraId="4C762DFA">
            <w:pPr>
              <w:pStyle w:val="6"/>
              <w:spacing w:before="212" w:line="8" w:lineRule="exact"/>
              <w:ind w:left="243"/>
            </w:pPr>
            <w:r>
              <w:pict>
                <v:shape id="_x0000_s1153" o:spid="_x0000_s1153" o:spt="202" type="#_x0000_t202" style="position:absolute;left:0pt;margin-left:10.85pt;margin-top:1.35pt;height:14.1pt;width:23pt;z-index:251706368;mso-width-relative:page;mso-height-relative:page;" filled="f" stroked="f" coordsize="21600,21600">
                  <v:path/>
                  <v:fill on="f" focussize="0,0"/>
                  <v:stroke on="f"/>
                  <v:imagedata o:title=""/>
                  <o:lock v:ext="edit" aspectratio="f"/>
                  <v:textbox inset="0mm,0mm,0mm,0mm">
                    <w:txbxContent>
                      <w:p w14:paraId="7FD4B0D2">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332F357E">
            <w:pPr>
              <w:pStyle w:val="6"/>
              <w:spacing w:before="212" w:line="8" w:lineRule="exact"/>
              <w:ind w:left="236"/>
            </w:pPr>
            <w:r>
              <w:pict>
                <v:shape id="_x0000_s1154" o:spid="_x0000_s1154" o:spt="202" type="#_x0000_t202" style="position:absolute;left:0pt;margin-left:10.45pt;margin-top:1.35pt;height:14.1pt;width:23pt;z-index:251702272;mso-width-relative:page;mso-height-relative:page;" filled="f" stroked="f" coordsize="21600,21600">
                  <v:path/>
                  <v:fill on="f" focussize="0,0"/>
                  <v:stroke on="f"/>
                  <v:imagedata o:title=""/>
                  <o:lock v:ext="edit" aspectratio="f"/>
                  <v:textbox inset="0mm,0mm,0mm,0mm">
                    <w:txbxContent>
                      <w:p w14:paraId="13D05351">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54" w:type="dxa"/>
            <w:gridSpan w:val="2"/>
            <w:vAlign w:val="top"/>
          </w:tcPr>
          <w:p w14:paraId="1048DF61">
            <w:pPr>
              <w:pStyle w:val="6"/>
              <w:spacing w:before="212" w:line="8" w:lineRule="exact"/>
              <w:ind w:left="221"/>
            </w:pPr>
            <w:r>
              <w:pict>
                <v:shape id="_x0000_s1155" o:spid="_x0000_s1155" o:spt="202" type="#_x0000_t202" style="position:absolute;left:0pt;margin-left:9.7pt;margin-top:1.35pt;height:14.1pt;width:23.05pt;z-index:251711488;mso-width-relative:page;mso-height-relative:page;" filled="f" stroked="f" coordsize="21600,21600">
                  <v:path/>
                  <v:fill on="f" focussize="0,0"/>
                  <v:stroke on="f"/>
                  <v:imagedata o:title=""/>
                  <o:lock v:ext="edit" aspectratio="f"/>
                  <v:textbox inset="0mm,0mm,0mm,0mm">
                    <w:txbxContent>
                      <w:p w14:paraId="1EF1F04E">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6E792BD5">
            <w:pPr>
              <w:pStyle w:val="6"/>
              <w:spacing w:before="212" w:line="8" w:lineRule="exact"/>
              <w:ind w:left="237"/>
            </w:pPr>
            <w:r>
              <w:pict>
                <v:shape id="_x0000_s1156" o:spid="_x0000_s1156" o:spt="202" type="#_x0000_t202" style="position:absolute;left:0pt;margin-left:10.5pt;margin-top:1.35pt;height:14.1pt;width:23pt;z-index:251708416;mso-width-relative:page;mso-height-relative:page;" filled="f" stroked="f" coordsize="21600,21600">
                  <v:path/>
                  <v:fill on="f" focussize="0,0"/>
                  <v:stroke on="f"/>
                  <v:imagedata o:title=""/>
                  <o:lock v:ext="edit" aspectratio="f"/>
                  <v:textbox inset="0mm,0mm,0mm,0mm">
                    <w:txbxContent>
                      <w:p w14:paraId="7CC77567">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9" w:type="dxa"/>
            <w:vAlign w:val="top"/>
          </w:tcPr>
          <w:p w14:paraId="45CC2E0E">
            <w:pPr>
              <w:pStyle w:val="6"/>
              <w:spacing w:before="212" w:line="8" w:lineRule="exact"/>
              <w:ind w:left="229"/>
            </w:pPr>
            <w:r>
              <w:pict>
                <v:shape id="_x0000_s1157" o:spid="_x0000_s1157" o:spt="202" type="#_x0000_t202" style="position:absolute;left:0pt;margin-left:10.1pt;margin-top:1.35pt;height:14.1pt;width:23pt;z-index:251705344;mso-width-relative:page;mso-height-relative:page;" filled="f" stroked="f" coordsize="21600,21600">
                  <v:path/>
                  <v:fill on="f" focussize="0,0"/>
                  <v:stroke on="f"/>
                  <v:imagedata o:title=""/>
                  <o:lock v:ext="edit" aspectratio="f"/>
                  <v:textbox inset="0mm,0mm,0mm,0mm">
                    <w:txbxContent>
                      <w:p w14:paraId="635B4234">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0" w:type="dxa"/>
            <w:vAlign w:val="top"/>
          </w:tcPr>
          <w:p w14:paraId="3C4C772D">
            <w:pPr>
              <w:pStyle w:val="6"/>
              <w:spacing w:before="212" w:line="8" w:lineRule="exact"/>
              <w:ind w:left="223"/>
            </w:pPr>
            <w:r>
              <w:pict>
                <v:shape id="_x0000_s1158" o:spid="_x0000_s1158" o:spt="202" type="#_x0000_t202" style="position:absolute;left:0pt;margin-left:9.8pt;margin-top:1.35pt;height:14.1pt;width:23.05pt;z-index:251704320;mso-width-relative:page;mso-height-relative:page;" filled="f" stroked="f" coordsize="21600,21600">
                  <v:path/>
                  <v:fill on="f" focussize="0,0"/>
                  <v:stroke on="f"/>
                  <v:imagedata o:title=""/>
                  <o:lock v:ext="edit" aspectratio="f"/>
                  <v:textbox inset="0mm,0mm,0mm,0mm">
                    <w:txbxContent>
                      <w:p w14:paraId="3811910E">
                        <w:pPr>
                          <w:tabs>
                            <w:tab w:val="left" w:pos="440"/>
                          </w:tabs>
                          <w:spacing w:before="20"/>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21859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505" w:type="dxa"/>
            <w:vAlign w:val="top"/>
          </w:tcPr>
          <w:p w14:paraId="28823E8F">
            <w:pPr>
              <w:pStyle w:val="6"/>
              <w:spacing w:before="111" w:line="213" w:lineRule="auto"/>
              <w:ind w:left="337"/>
            </w:pPr>
            <w:r>
              <w:rPr>
                <w:strike/>
                <w:spacing w:val="-2"/>
              </w:rPr>
              <w:t>夏热冬冷</w:t>
            </w:r>
          </w:p>
        </w:tc>
        <w:tc>
          <w:tcPr>
            <w:tcW w:w="1005" w:type="dxa"/>
            <w:vAlign w:val="top"/>
          </w:tcPr>
          <w:p w14:paraId="03351115">
            <w:pPr>
              <w:pStyle w:val="6"/>
              <w:spacing w:before="211" w:line="9" w:lineRule="exact"/>
              <w:ind w:left="294"/>
            </w:pPr>
            <w:r>
              <w:pict>
                <v:shape id="_x0000_s1159" o:spid="_x0000_s1159" o:spt="202" type="#_x0000_t202" style="position:absolute;left:0pt;margin-left:13.35pt;margin-top:1.35pt;height:14.1pt;width:23pt;z-index:251709440;mso-width-relative:page;mso-height-relative:page;" filled="f" stroked="f" coordsize="21600,21600">
                  <v:path/>
                  <v:fill on="f" focussize="0,0"/>
                  <v:stroke on="f"/>
                  <v:imagedata o:title=""/>
                  <o:lock v:ext="edit" aspectratio="f"/>
                  <v:textbox inset="0mm,0mm,0mm,0mm">
                    <w:txbxContent>
                      <w:p w14:paraId="1030A616">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764" w:type="dxa"/>
            <w:vAlign w:val="top"/>
          </w:tcPr>
          <w:p w14:paraId="31D8F5AE">
            <w:pPr>
              <w:pStyle w:val="6"/>
              <w:spacing w:before="211" w:line="9" w:lineRule="exact"/>
              <w:ind w:left="173"/>
            </w:pPr>
            <w:r>
              <w:pict>
                <v:shape id="_x0000_s1160" o:spid="_x0000_s1160" o:spt="202" type="#_x0000_t202" style="position:absolute;left:0pt;margin-left:7.3pt;margin-top:1.35pt;height:14.1pt;width:23.05pt;z-index:251710464;mso-width-relative:page;mso-height-relative:page;" filled="f" stroked="f" coordsize="21600,21600">
                  <v:path/>
                  <v:fill on="f" focussize="0,0"/>
                  <v:stroke on="f"/>
                  <v:imagedata o:title=""/>
                  <o:lock v:ext="edit" aspectratio="f"/>
                  <v:textbox inset="0mm,0mm,0mm,0mm">
                    <w:txbxContent>
                      <w:p w14:paraId="4D826AEA">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99" w:type="dxa"/>
            <w:vAlign w:val="top"/>
          </w:tcPr>
          <w:p w14:paraId="1365818E">
            <w:pPr>
              <w:pStyle w:val="6"/>
              <w:spacing w:before="111" w:line="213" w:lineRule="auto"/>
              <w:ind w:left="180"/>
              <w:rPr>
                <w:rFonts w:ascii="Times New Roman" w:hAnsi="Times New Roman" w:eastAsia="Times New Roman" w:cs="Times New Roman"/>
              </w:rPr>
            </w:pPr>
            <w:r>
              <w:rPr>
                <w:strike/>
                <w:spacing w:val="-5"/>
              </w:rPr>
              <w:t>≤</w:t>
            </w:r>
            <w:r>
              <w:rPr>
                <w:rFonts w:ascii="Times New Roman" w:hAnsi="Times New Roman" w:eastAsia="Times New Roman" w:cs="Times New Roman"/>
                <w:strike/>
                <w:spacing w:val="-5"/>
              </w:rPr>
              <w:t>0</w:t>
            </w:r>
            <w:r>
              <w:rPr>
                <w:rFonts w:ascii="Times New Roman" w:hAnsi="Times New Roman" w:eastAsia="Times New Roman" w:cs="Times New Roman"/>
                <w:spacing w:val="-5"/>
              </w:rPr>
              <w:t>.</w:t>
            </w:r>
            <w:r>
              <w:rPr>
                <w:rFonts w:ascii="Times New Roman" w:hAnsi="Times New Roman" w:eastAsia="Times New Roman" w:cs="Times New Roman"/>
                <w:strike/>
                <w:spacing w:val="-5"/>
              </w:rPr>
              <w:t>80</w:t>
            </w:r>
          </w:p>
        </w:tc>
        <w:tc>
          <w:tcPr>
            <w:tcW w:w="885" w:type="dxa"/>
            <w:vAlign w:val="top"/>
          </w:tcPr>
          <w:p w14:paraId="18E7D57B">
            <w:pPr>
              <w:pStyle w:val="6"/>
              <w:spacing w:before="111" w:line="213" w:lineRule="auto"/>
              <w:ind w:left="226"/>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1.0</w:t>
            </w:r>
          </w:p>
        </w:tc>
        <w:tc>
          <w:tcPr>
            <w:tcW w:w="854" w:type="dxa"/>
            <w:gridSpan w:val="2"/>
            <w:vAlign w:val="top"/>
          </w:tcPr>
          <w:p w14:paraId="354BAE32">
            <w:pPr>
              <w:pStyle w:val="6"/>
              <w:spacing w:before="111" w:line="213" w:lineRule="auto"/>
              <w:ind w:left="211"/>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885" w:type="dxa"/>
            <w:vAlign w:val="top"/>
          </w:tcPr>
          <w:p w14:paraId="5DF4CBA6">
            <w:pPr>
              <w:pStyle w:val="6"/>
              <w:spacing w:before="111" w:line="213" w:lineRule="auto"/>
              <w:ind w:left="227"/>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0.6</w:t>
            </w:r>
          </w:p>
        </w:tc>
        <w:tc>
          <w:tcPr>
            <w:tcW w:w="869" w:type="dxa"/>
            <w:vAlign w:val="top"/>
          </w:tcPr>
          <w:p w14:paraId="2058AC50">
            <w:pPr>
              <w:pStyle w:val="6"/>
              <w:spacing w:before="211" w:line="9" w:lineRule="exact"/>
              <w:ind w:left="229"/>
            </w:pPr>
            <w:r>
              <w:pict>
                <v:shape id="_x0000_s1161" o:spid="_x0000_s1161" o:spt="202" type="#_x0000_t202" style="position:absolute;left:0pt;margin-left:10.1pt;margin-top:1.35pt;height:14.1pt;width:23pt;z-index:251697152;mso-width-relative:page;mso-height-relative:page;" filled="f" stroked="f" coordsize="21600,21600">
                  <v:path/>
                  <v:fill on="f" focussize="0,0"/>
                  <v:stroke on="f"/>
                  <v:imagedata o:title=""/>
                  <o:lock v:ext="edit" aspectratio="f"/>
                  <v:textbox inset="0mm,0mm,0mm,0mm">
                    <w:txbxContent>
                      <w:p w14:paraId="43E2D321">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0" w:type="dxa"/>
            <w:vAlign w:val="top"/>
          </w:tcPr>
          <w:p w14:paraId="0B91D9BC">
            <w:pPr>
              <w:pStyle w:val="6"/>
              <w:spacing w:before="211" w:line="9" w:lineRule="exact"/>
              <w:ind w:left="223"/>
            </w:pPr>
            <w:r>
              <w:pict>
                <v:shape id="_x0000_s1162" o:spid="_x0000_s1162" o:spt="202" type="#_x0000_t202" style="position:absolute;left:0pt;margin-left:9.8pt;margin-top:1.35pt;height:14.1pt;width:23.05pt;z-index:251701248;mso-width-relative:page;mso-height-relative:page;" filled="f" stroked="f" coordsize="21600,21600">
                  <v:path/>
                  <v:fill on="f" focussize="0,0"/>
                  <v:stroke on="f"/>
                  <v:imagedata o:title=""/>
                  <o:lock v:ext="edit" aspectratio="f"/>
                  <v:textbox inset="0mm,0mm,0mm,0mm">
                    <w:txbxContent>
                      <w:p w14:paraId="51611181">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r>
      <w:tr w14:paraId="3B63B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505" w:type="dxa"/>
            <w:vAlign w:val="top"/>
          </w:tcPr>
          <w:p w14:paraId="1E15AB31">
            <w:pPr>
              <w:pStyle w:val="6"/>
              <w:spacing w:before="113" w:line="217" w:lineRule="auto"/>
              <w:ind w:left="337"/>
            </w:pPr>
            <w:r>
              <w:rPr>
                <w:strike/>
                <w:spacing w:val="-2"/>
              </w:rPr>
              <w:t>夏热冬冷</w:t>
            </w:r>
          </w:p>
        </w:tc>
        <w:tc>
          <w:tcPr>
            <w:tcW w:w="1005" w:type="dxa"/>
            <w:vAlign w:val="top"/>
          </w:tcPr>
          <w:p w14:paraId="7AC4925E">
            <w:pPr>
              <w:pStyle w:val="6"/>
              <w:spacing w:before="212" w:line="8" w:lineRule="exact"/>
              <w:ind w:left="294"/>
            </w:pPr>
            <w:r>
              <w:pict>
                <v:shape id="_x0000_s1163" o:spid="_x0000_s1163" o:spt="202" type="#_x0000_t202" style="position:absolute;left:0pt;margin-left:13.35pt;margin-top:1.4pt;height:14.1pt;width:23pt;z-index:251700224;mso-width-relative:page;mso-height-relative:page;" filled="f" stroked="f" coordsize="21600,21600">
                  <v:path/>
                  <v:fill on="f" focussize="0,0"/>
                  <v:stroke on="f"/>
                  <v:imagedata o:title=""/>
                  <o:lock v:ext="edit" aspectratio="f"/>
                  <v:textbox inset="0mm,0mm,0mm,0mm">
                    <w:txbxContent>
                      <w:p w14:paraId="7E84F0D7">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764" w:type="dxa"/>
            <w:vAlign w:val="top"/>
          </w:tcPr>
          <w:p w14:paraId="6C25521E">
            <w:pPr>
              <w:pStyle w:val="6"/>
              <w:spacing w:before="212" w:line="8" w:lineRule="exact"/>
              <w:ind w:left="173"/>
            </w:pPr>
            <w:r>
              <w:pict>
                <v:shape id="_x0000_s1164" o:spid="_x0000_s1164" o:spt="202" type="#_x0000_t202" style="position:absolute;left:0pt;margin-left:7.3pt;margin-top:1.4pt;height:14.1pt;width:23.05pt;z-index:251695104;mso-width-relative:page;mso-height-relative:page;" filled="f" stroked="f" coordsize="21600,21600">
                  <v:path/>
                  <v:fill on="f" focussize="0,0"/>
                  <v:stroke on="f"/>
                  <v:imagedata o:title=""/>
                  <o:lock v:ext="edit" aspectratio="f"/>
                  <v:textbox inset="0mm,0mm,0mm,0mm">
                    <w:txbxContent>
                      <w:p w14:paraId="5628ECDF">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99" w:type="dxa"/>
            <w:vAlign w:val="top"/>
          </w:tcPr>
          <w:p w14:paraId="0693B2E5">
            <w:pPr>
              <w:pStyle w:val="6"/>
              <w:spacing w:before="212" w:line="8" w:lineRule="exact"/>
              <w:ind w:left="243"/>
            </w:pPr>
            <w:r>
              <w:pict>
                <v:shape id="_x0000_s1165" o:spid="_x0000_s1165" o:spt="202" type="#_x0000_t202" style="position:absolute;left:0pt;margin-left:10.85pt;margin-top:1.4pt;height:14.1pt;width:23pt;z-index:251694080;mso-width-relative:page;mso-height-relative:page;" filled="f" stroked="f" coordsize="21600,21600">
                  <v:path/>
                  <v:fill on="f" focussize="0,0"/>
                  <v:stroke on="f"/>
                  <v:imagedata o:title=""/>
                  <o:lock v:ext="edit" aspectratio="f"/>
                  <v:textbox inset="0mm,0mm,0mm,0mm">
                    <w:txbxContent>
                      <w:p w14:paraId="1BE7ECB4">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2E42268E">
            <w:pPr>
              <w:pStyle w:val="6"/>
              <w:spacing w:before="212" w:line="8" w:lineRule="exact"/>
              <w:ind w:left="236"/>
            </w:pPr>
            <w:r>
              <w:pict>
                <v:shape id="_x0000_s1166" o:spid="_x0000_s1166" o:spt="202" type="#_x0000_t202" style="position:absolute;left:0pt;margin-left:10.45pt;margin-top:1.4pt;height:14.1pt;width:23pt;z-index:251699200;mso-width-relative:page;mso-height-relative:page;" filled="f" stroked="f" coordsize="21600,21600">
                  <v:path/>
                  <v:fill on="f" focussize="0,0"/>
                  <v:stroke on="f"/>
                  <v:imagedata o:title=""/>
                  <o:lock v:ext="edit" aspectratio="f"/>
                  <v:textbox inset="0mm,0mm,0mm,0mm">
                    <w:txbxContent>
                      <w:p w14:paraId="20251BCF">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54" w:type="dxa"/>
            <w:gridSpan w:val="2"/>
            <w:vAlign w:val="top"/>
          </w:tcPr>
          <w:p w14:paraId="1C3C6B96">
            <w:pPr>
              <w:pStyle w:val="6"/>
              <w:spacing w:before="212" w:line="8" w:lineRule="exact"/>
              <w:ind w:left="221"/>
            </w:pPr>
            <w:r>
              <w:pict>
                <v:shape id="_x0000_s1167" o:spid="_x0000_s1167" o:spt="202" type="#_x0000_t202" style="position:absolute;left:0pt;margin-left:9.7pt;margin-top:1.4pt;height:14.1pt;width:23.05pt;z-index:251696128;mso-width-relative:page;mso-height-relative:page;" filled="f" stroked="f" coordsize="21600,21600">
                  <v:path/>
                  <v:fill on="f" focussize="0,0"/>
                  <v:stroke on="f"/>
                  <v:imagedata o:title=""/>
                  <o:lock v:ext="edit" aspectratio="f"/>
                  <v:textbox inset="0mm,0mm,0mm,0mm">
                    <w:txbxContent>
                      <w:p w14:paraId="568FCAC6">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85" w:type="dxa"/>
            <w:vAlign w:val="top"/>
          </w:tcPr>
          <w:p w14:paraId="76FF5AF6">
            <w:pPr>
              <w:pStyle w:val="6"/>
              <w:spacing w:before="212" w:line="8" w:lineRule="exact"/>
              <w:ind w:left="237"/>
            </w:pPr>
            <w:r>
              <w:pict>
                <v:shape id="_x0000_s1168" o:spid="_x0000_s1168" o:spt="202" type="#_x0000_t202" style="position:absolute;left:0pt;margin-left:10.5pt;margin-top:1.4pt;height:14.1pt;width:23pt;z-index:251698176;mso-width-relative:page;mso-height-relative:page;" filled="f" stroked="f" coordsize="21600,21600">
                  <v:path/>
                  <v:fill on="f" focussize="0,0"/>
                  <v:stroke on="f"/>
                  <v:imagedata o:title=""/>
                  <o:lock v:ext="edit" aspectratio="f"/>
                  <v:textbox inset="0mm,0mm,0mm,0mm">
                    <w:txbxContent>
                      <w:p w14:paraId="1550FFF5">
                        <w:pPr>
                          <w:tabs>
                            <w:tab w:val="left" w:pos="440"/>
                          </w:tabs>
                          <w:spacing w:before="19"/>
                          <w:ind w:left="20"/>
                          <w:rPr>
                            <w:rFonts w:ascii="Arial"/>
                            <w:sz w:val="21"/>
                          </w:rPr>
                        </w:pPr>
                        <w:r>
                          <w:rPr>
                            <w:rFonts w:ascii="Arial" w:hAnsi="Arial" w:eastAsia="Arial" w:cs="Arial"/>
                            <w:sz w:val="21"/>
                            <w:szCs w:val="21"/>
                            <w:u w:val="single" w:color="auto"/>
                          </w:rPr>
                          <w:tab/>
                        </w:r>
                      </w:p>
                    </w:txbxContent>
                  </v:textbox>
                </v:shape>
              </w:pict>
            </w:r>
            <w:r>
              <w:rPr>
                <w:spacing w:val="-2"/>
                <w:position w:val="-7"/>
              </w:rPr>
              <w:t>——</w:t>
            </w:r>
          </w:p>
        </w:tc>
        <w:tc>
          <w:tcPr>
            <w:tcW w:w="869" w:type="dxa"/>
            <w:vAlign w:val="top"/>
          </w:tcPr>
          <w:p w14:paraId="3770DDE4">
            <w:pPr>
              <w:pStyle w:val="6"/>
              <w:spacing w:before="113" w:line="217" w:lineRule="auto"/>
              <w:ind w:left="219"/>
              <w:rPr>
                <w:rFonts w:ascii="Times New Roman" w:hAnsi="Times New Roman" w:eastAsia="Times New Roman" w:cs="Times New Roman"/>
              </w:rPr>
            </w:pPr>
            <w:r>
              <w:rPr>
                <w:strike/>
                <w:spacing w:val="-6"/>
              </w:rPr>
              <w:t>≤</w:t>
            </w:r>
            <w:r>
              <w:rPr>
                <w:rFonts w:ascii="Times New Roman" w:hAnsi="Times New Roman" w:eastAsia="Times New Roman" w:cs="Times New Roman"/>
                <w:strike/>
                <w:spacing w:val="-6"/>
              </w:rPr>
              <w:t>0.5</w:t>
            </w:r>
          </w:p>
        </w:tc>
        <w:tc>
          <w:tcPr>
            <w:tcW w:w="860" w:type="dxa"/>
            <w:vAlign w:val="top"/>
          </w:tcPr>
          <w:p w14:paraId="5CF81E89">
            <w:pPr>
              <w:pStyle w:val="6"/>
              <w:spacing w:before="113" w:line="217" w:lineRule="auto"/>
              <w:ind w:left="213"/>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1.0</w:t>
            </w:r>
          </w:p>
        </w:tc>
      </w:tr>
    </w:tbl>
    <w:p w14:paraId="2199C3C6">
      <w:pPr>
        <w:tabs>
          <w:tab w:val="left" w:pos="420"/>
        </w:tabs>
        <w:spacing w:before="170" w:line="220" w:lineRule="auto"/>
        <w:rPr>
          <w:rFonts w:ascii="宋体" w:hAnsi="宋体" w:eastAsia="宋体" w:cs="宋体"/>
          <w:sz w:val="21"/>
          <w:szCs w:val="21"/>
        </w:rPr>
      </w:pPr>
      <w:r>
        <w:rPr>
          <w:rFonts w:ascii="宋体" w:hAnsi="宋体" w:eastAsia="宋体" w:cs="宋体"/>
          <w:strike/>
          <w:sz w:val="21"/>
          <w:szCs w:val="21"/>
        </w:rPr>
        <w:tab/>
      </w:r>
      <w:r>
        <w:rPr>
          <w:rFonts w:ascii="宋体" w:hAnsi="宋体" w:eastAsia="宋体" w:cs="宋体"/>
          <w:strike/>
          <w:spacing w:val="-95"/>
          <w:sz w:val="21"/>
          <w:szCs w:val="21"/>
        </w:rPr>
        <w:t xml:space="preserve"> </w:t>
      </w:r>
      <w:r>
        <w:rPr>
          <w:rFonts w:ascii="宋体" w:hAnsi="宋体" w:eastAsia="宋体" w:cs="宋体"/>
          <w:strike/>
          <w:spacing w:val="-1"/>
          <w:sz w:val="21"/>
          <w:szCs w:val="21"/>
        </w:rPr>
        <w:t>注：</w:t>
      </w:r>
      <w:r>
        <w:rPr>
          <w:rFonts w:ascii="Times New Roman" w:hAnsi="Times New Roman" w:eastAsia="Times New Roman" w:cs="Times New Roman"/>
          <w:strike/>
          <w:spacing w:val="-1"/>
          <w:sz w:val="21"/>
          <w:szCs w:val="21"/>
        </w:rPr>
        <w:t xml:space="preserve">D </w:t>
      </w:r>
      <w:r>
        <w:rPr>
          <w:rFonts w:ascii="宋体" w:hAnsi="宋体" w:eastAsia="宋体" w:cs="宋体"/>
          <w:strike/>
          <w:spacing w:val="-1"/>
          <w:sz w:val="21"/>
          <w:szCs w:val="21"/>
        </w:rPr>
        <w:t>为热惰性系数。</w:t>
      </w:r>
    </w:p>
    <w:p w14:paraId="1A2E96E6">
      <w:pPr>
        <w:spacing w:before="166" w:line="340" w:lineRule="auto"/>
        <w:ind w:left="12" w:hanging="6"/>
        <w:rPr>
          <w:rFonts w:ascii="宋体" w:hAnsi="宋体" w:eastAsia="宋体" w:cs="宋体"/>
          <w:sz w:val="24"/>
          <w:szCs w:val="24"/>
        </w:rPr>
      </w:pPr>
      <w:r>
        <w:rPr>
          <w:rFonts w:ascii="Times New Roman" w:hAnsi="Times New Roman" w:eastAsia="Times New Roman" w:cs="Times New Roman"/>
          <w:b/>
          <w:bCs/>
          <w:color w:val="EE0000"/>
          <w:spacing w:val="-1"/>
          <w:sz w:val="24"/>
          <w:szCs w:val="24"/>
        </w:rPr>
        <w:t xml:space="preserve">4.6.4    </w:t>
      </w:r>
      <w:r>
        <w:rPr>
          <w:rFonts w:ascii="宋体" w:hAnsi="宋体" w:eastAsia="宋体" w:cs="宋体"/>
          <w:b/>
          <w:bCs/>
          <w:color w:val="EE0000"/>
          <w:spacing w:val="-1"/>
          <w:sz w:val="24"/>
          <w:szCs w:val="24"/>
        </w:rPr>
        <w:t>光伏组件应具有带电警告标识及相应</w:t>
      </w:r>
      <w:r>
        <w:rPr>
          <w:rFonts w:ascii="宋体" w:hAnsi="宋体" w:eastAsia="宋体" w:cs="宋体"/>
          <w:b/>
          <w:bCs/>
          <w:color w:val="EE0000"/>
          <w:spacing w:val="-2"/>
          <w:sz w:val="24"/>
          <w:szCs w:val="24"/>
        </w:rPr>
        <w:t>的电气安全防护措施，在人员有可能接触</w:t>
      </w:r>
      <w:r>
        <w:rPr>
          <w:rFonts w:ascii="宋体" w:hAnsi="宋体" w:eastAsia="宋体" w:cs="宋体"/>
          <w:color w:val="EE0000"/>
          <w:sz w:val="24"/>
          <w:szCs w:val="24"/>
        </w:rPr>
        <w:t xml:space="preserve"> </w:t>
      </w:r>
      <w:r>
        <w:rPr>
          <w:rFonts w:ascii="宋体" w:hAnsi="宋体" w:eastAsia="宋体" w:cs="宋体"/>
          <w:b/>
          <w:bCs/>
          <w:color w:val="EE0000"/>
          <w:spacing w:val="-3"/>
          <w:sz w:val="24"/>
          <w:szCs w:val="24"/>
        </w:rPr>
        <w:t>或接近光伏系统的位置，应设置防触电警示标识。</w:t>
      </w:r>
    </w:p>
    <w:p w14:paraId="19A9D571">
      <w:pPr>
        <w:spacing w:line="340" w:lineRule="auto"/>
        <w:rPr>
          <w:rFonts w:ascii="宋体" w:hAnsi="宋体" w:eastAsia="宋体" w:cs="宋体"/>
          <w:sz w:val="24"/>
          <w:szCs w:val="24"/>
        </w:rPr>
        <w:sectPr>
          <w:footerReference r:id="rId67" w:type="default"/>
          <w:pgSz w:w="11907" w:h="16839"/>
          <w:pgMar w:top="400" w:right="1576" w:bottom="743" w:left="1417" w:header="0" w:footer="582" w:gutter="0"/>
          <w:cols w:space="720" w:num="1"/>
        </w:sectPr>
      </w:pPr>
    </w:p>
    <w:p w14:paraId="196736A9">
      <w:pPr>
        <w:pStyle w:val="2"/>
        <w:spacing w:line="301" w:lineRule="auto"/>
      </w:pPr>
    </w:p>
    <w:p w14:paraId="72035A94">
      <w:pPr>
        <w:pStyle w:val="2"/>
        <w:spacing w:line="302" w:lineRule="auto"/>
      </w:pPr>
    </w:p>
    <w:p w14:paraId="5C0B40E3">
      <w:pPr>
        <w:pStyle w:val="2"/>
        <w:spacing w:line="302" w:lineRule="auto"/>
      </w:pPr>
    </w:p>
    <w:p w14:paraId="44A830BB">
      <w:pPr>
        <w:spacing w:before="97" w:line="222" w:lineRule="auto"/>
        <w:ind w:left="3342"/>
        <w:outlineLvl w:val="0"/>
        <w:rPr>
          <w:rFonts w:ascii="黑体" w:hAnsi="黑体" w:eastAsia="黑体" w:cs="黑体"/>
          <w:sz w:val="30"/>
          <w:szCs w:val="30"/>
        </w:rPr>
      </w:pPr>
      <w:bookmarkStart w:id="90" w:name="bookmark136"/>
      <w:bookmarkEnd w:id="90"/>
      <w:r>
        <w:rPr>
          <w:rFonts w:ascii="黑体" w:hAnsi="黑体" w:eastAsia="黑体" w:cs="黑体"/>
          <w:b/>
          <w:bCs/>
          <w:spacing w:val="-3"/>
          <w:sz w:val="30"/>
          <w:szCs w:val="30"/>
        </w:rPr>
        <w:t>第三篇</w:t>
      </w:r>
      <w:r>
        <w:rPr>
          <w:rFonts w:ascii="黑体" w:hAnsi="黑体" w:eastAsia="黑体" w:cs="黑体"/>
          <w:spacing w:val="-3"/>
          <w:sz w:val="30"/>
          <w:szCs w:val="30"/>
        </w:rPr>
        <w:t xml:space="preserve">  </w:t>
      </w:r>
      <w:r>
        <w:rPr>
          <w:rFonts w:ascii="黑体" w:hAnsi="黑体" w:eastAsia="黑体" w:cs="黑体"/>
          <w:b/>
          <w:bCs/>
          <w:spacing w:val="-3"/>
          <w:sz w:val="30"/>
          <w:szCs w:val="30"/>
        </w:rPr>
        <w:t>施工安全</w:t>
      </w:r>
    </w:p>
    <w:p w14:paraId="0C1B1CD5">
      <w:pPr>
        <w:pStyle w:val="2"/>
        <w:spacing w:line="306" w:lineRule="auto"/>
      </w:pPr>
    </w:p>
    <w:p w14:paraId="272ABA3F">
      <w:pPr>
        <w:pStyle w:val="2"/>
        <w:spacing w:before="88" w:line="225" w:lineRule="auto"/>
        <w:ind w:left="22"/>
        <w:outlineLvl w:val="1"/>
        <w:rPr>
          <w:sz w:val="27"/>
          <w:szCs w:val="27"/>
        </w:rPr>
      </w:pPr>
      <w:bookmarkStart w:id="91" w:name="bookmark137"/>
      <w:bookmarkEnd w:id="91"/>
      <w:r>
        <w:rPr>
          <w:b/>
          <w:bCs/>
          <w:spacing w:val="2"/>
          <w:sz w:val="27"/>
          <w:szCs w:val="27"/>
        </w:rPr>
        <w:t>1.</w:t>
      </w:r>
      <w:r>
        <w:rPr>
          <w:rFonts w:ascii="宋体" w:hAnsi="宋体" w:eastAsia="宋体" w:cs="宋体"/>
          <w:b/>
          <w:bCs/>
          <w:spacing w:val="2"/>
          <w:sz w:val="27"/>
          <w:szCs w:val="27"/>
        </w:rPr>
        <w:t>《安全帽》</w:t>
      </w:r>
      <w:r>
        <w:rPr>
          <w:rFonts w:ascii="宋体" w:hAnsi="宋体" w:eastAsia="宋体" w:cs="宋体"/>
          <w:spacing w:val="-81"/>
          <w:sz w:val="27"/>
          <w:szCs w:val="27"/>
        </w:rPr>
        <w:t xml:space="preserve"> </w:t>
      </w:r>
      <w:r>
        <w:rPr>
          <w:rFonts w:ascii="宋体" w:hAnsi="宋体" w:eastAsia="宋体" w:cs="宋体"/>
          <w:b/>
          <w:bCs/>
          <w:spacing w:val="2"/>
          <w:sz w:val="27"/>
          <w:szCs w:val="27"/>
        </w:rPr>
        <w:t>——</w:t>
      </w:r>
      <w:r>
        <w:rPr>
          <w:b/>
          <w:bCs/>
          <w:sz w:val="27"/>
          <w:szCs w:val="27"/>
        </w:rPr>
        <w:t>GB</w:t>
      </w:r>
      <w:r>
        <w:rPr>
          <w:b/>
          <w:bCs/>
          <w:spacing w:val="2"/>
          <w:sz w:val="27"/>
          <w:szCs w:val="27"/>
        </w:rPr>
        <w:t>2811-2019</w:t>
      </w:r>
    </w:p>
    <w:p w14:paraId="4F9E8F07">
      <w:pPr>
        <w:spacing w:before="286" w:line="219" w:lineRule="auto"/>
        <w:ind w:left="19"/>
        <w:rPr>
          <w:rFonts w:ascii="Times New Roman" w:hAnsi="Times New Roman" w:eastAsia="Times New Roman" w:cs="Times New Roman"/>
          <w:sz w:val="24"/>
          <w:szCs w:val="24"/>
        </w:rPr>
      </w:pPr>
      <w:r>
        <w:rPr>
          <w:rFonts w:ascii="宋体" w:hAnsi="宋体" w:eastAsia="宋体" w:cs="宋体"/>
          <w:spacing w:val="-2"/>
          <w:sz w:val="24"/>
          <w:szCs w:val="24"/>
        </w:rPr>
        <w:t>替代规范《安全帽》</w:t>
      </w:r>
      <w:r>
        <w:rPr>
          <w:rFonts w:ascii="Times New Roman" w:hAnsi="Times New Roman" w:eastAsia="Times New Roman" w:cs="Times New Roman"/>
          <w:spacing w:val="-2"/>
          <w:sz w:val="24"/>
          <w:szCs w:val="24"/>
        </w:rPr>
        <w:t>GB2811-2007</w:t>
      </w:r>
    </w:p>
    <w:p w14:paraId="5F63A07A">
      <w:pPr>
        <w:spacing w:before="155" w:line="219" w:lineRule="auto"/>
        <w:ind w:left="12"/>
        <w:rPr>
          <w:rFonts w:ascii="宋体" w:hAnsi="宋体" w:eastAsia="宋体" w:cs="宋体"/>
          <w:sz w:val="24"/>
          <w:szCs w:val="24"/>
        </w:rPr>
      </w:pPr>
      <w:r>
        <w:rPr>
          <w:rFonts w:ascii="宋体" w:hAnsi="宋体" w:eastAsia="宋体" w:cs="宋体"/>
          <w:spacing w:val="-1"/>
          <w:sz w:val="24"/>
          <w:szCs w:val="24"/>
        </w:rPr>
        <w:t>最新《安全帽》——</w:t>
      </w:r>
      <w:r>
        <w:rPr>
          <w:rFonts w:ascii="Times New Roman" w:hAnsi="Times New Roman" w:eastAsia="Times New Roman" w:cs="Times New Roman"/>
          <w:spacing w:val="-1"/>
          <w:sz w:val="24"/>
          <w:szCs w:val="24"/>
        </w:rPr>
        <w:t xml:space="preserve">GB2811-2019 </w:t>
      </w:r>
      <w:r>
        <w:rPr>
          <w:rFonts w:ascii="宋体" w:hAnsi="宋体" w:eastAsia="宋体" w:cs="宋体"/>
          <w:spacing w:val="-1"/>
          <w:sz w:val="24"/>
          <w:szCs w:val="24"/>
        </w:rPr>
        <w:t>无强制性条文</w:t>
      </w:r>
    </w:p>
    <w:p w14:paraId="4ACC91EA">
      <w:pPr>
        <w:pStyle w:val="2"/>
        <w:spacing w:before="303" w:line="225" w:lineRule="auto"/>
        <w:ind w:left="6"/>
        <w:outlineLvl w:val="1"/>
        <w:rPr>
          <w:sz w:val="27"/>
          <w:szCs w:val="27"/>
        </w:rPr>
      </w:pPr>
      <w:bookmarkStart w:id="92" w:name="bookmark138"/>
      <w:bookmarkEnd w:id="92"/>
      <w:r>
        <w:rPr>
          <w:b/>
          <w:bCs/>
          <w:spacing w:val="6"/>
          <w:sz w:val="27"/>
          <w:szCs w:val="27"/>
        </w:rPr>
        <w:t>2.</w:t>
      </w:r>
      <w:r>
        <w:rPr>
          <w:b/>
          <w:bCs/>
          <w:spacing w:val="-35"/>
          <w:sz w:val="27"/>
          <w:szCs w:val="27"/>
        </w:rPr>
        <w:t xml:space="preserve"> </w:t>
      </w:r>
      <w:r>
        <w:rPr>
          <w:rFonts w:ascii="宋体" w:hAnsi="宋体" w:eastAsia="宋体" w:cs="宋体"/>
          <w:b/>
          <w:bCs/>
          <w:spacing w:val="6"/>
          <w:sz w:val="27"/>
          <w:szCs w:val="27"/>
        </w:rPr>
        <w:t>《建设工程施工现场供用电安全规范》——</w:t>
      </w:r>
      <w:r>
        <w:rPr>
          <w:b/>
          <w:bCs/>
          <w:sz w:val="27"/>
          <w:szCs w:val="27"/>
        </w:rPr>
        <w:t>GB</w:t>
      </w:r>
      <w:r>
        <w:rPr>
          <w:b/>
          <w:bCs/>
          <w:spacing w:val="6"/>
          <w:sz w:val="27"/>
          <w:szCs w:val="27"/>
        </w:rPr>
        <w:t>50194-2014</w:t>
      </w:r>
    </w:p>
    <w:p w14:paraId="5F806CCB">
      <w:pPr>
        <w:spacing w:before="286" w:line="219" w:lineRule="auto"/>
        <w:ind w:left="3"/>
        <w:rPr>
          <w:rFonts w:ascii="宋体" w:hAnsi="宋体" w:eastAsia="宋体" w:cs="宋体"/>
          <w:sz w:val="24"/>
          <w:szCs w:val="24"/>
        </w:rPr>
      </w:pPr>
      <w:r>
        <w:rPr>
          <w:rFonts w:ascii="Times New Roman" w:hAnsi="Times New Roman" w:eastAsia="Times New Roman" w:cs="Times New Roman"/>
          <w:spacing w:val="-1"/>
          <w:sz w:val="24"/>
          <w:szCs w:val="24"/>
        </w:rPr>
        <w:t xml:space="preserve">4.0.4    </w:t>
      </w:r>
      <w:r>
        <w:rPr>
          <w:rFonts w:ascii="宋体" w:hAnsi="宋体" w:eastAsia="宋体" w:cs="宋体"/>
          <w:spacing w:val="-1"/>
          <w:sz w:val="24"/>
          <w:szCs w:val="24"/>
        </w:rPr>
        <w:t>发电机组电源必须与其他电源相互闭锁，严禁并</w:t>
      </w:r>
      <w:r>
        <w:rPr>
          <w:rFonts w:ascii="宋体" w:hAnsi="宋体" w:eastAsia="宋体" w:cs="宋体"/>
          <w:spacing w:val="-2"/>
          <w:sz w:val="24"/>
          <w:szCs w:val="24"/>
        </w:rPr>
        <w:t>列运行。</w:t>
      </w:r>
    </w:p>
    <w:p w14:paraId="004706CF">
      <w:pPr>
        <w:spacing w:before="155" w:line="220" w:lineRule="auto"/>
        <w:ind w:left="14"/>
        <w:rPr>
          <w:rFonts w:ascii="宋体" w:hAnsi="宋体" w:eastAsia="宋体" w:cs="宋体"/>
          <w:sz w:val="24"/>
          <w:szCs w:val="24"/>
        </w:rPr>
      </w:pPr>
      <w:r>
        <w:rPr>
          <w:rFonts w:ascii="Times New Roman" w:hAnsi="Times New Roman" w:eastAsia="Times New Roman" w:cs="Times New Roman"/>
          <w:spacing w:val="-2"/>
          <w:sz w:val="24"/>
          <w:szCs w:val="24"/>
        </w:rPr>
        <w:t xml:space="preserve">8.1.10    </w:t>
      </w:r>
      <w:r>
        <w:rPr>
          <w:rFonts w:ascii="宋体" w:hAnsi="宋体" w:eastAsia="宋体" w:cs="宋体"/>
          <w:spacing w:val="-2"/>
          <w:sz w:val="24"/>
          <w:szCs w:val="24"/>
        </w:rPr>
        <w:t>保护导体（</w:t>
      </w:r>
      <w:r>
        <w:rPr>
          <w:rFonts w:ascii="Times New Roman" w:hAnsi="Times New Roman" w:eastAsia="Times New Roman" w:cs="Times New Roman"/>
          <w:spacing w:val="-2"/>
          <w:sz w:val="24"/>
          <w:szCs w:val="24"/>
        </w:rPr>
        <w:t>PE</w:t>
      </w:r>
      <w:r>
        <w:rPr>
          <w:rFonts w:ascii="宋体" w:hAnsi="宋体" w:eastAsia="宋体" w:cs="宋体"/>
          <w:spacing w:val="-2"/>
          <w:sz w:val="24"/>
          <w:szCs w:val="24"/>
        </w:rPr>
        <w:t>）上严禁装设开关或熔断器。</w:t>
      </w:r>
    </w:p>
    <w:p w14:paraId="4BEB8B49">
      <w:pPr>
        <w:spacing w:before="156" w:line="279" w:lineRule="auto"/>
        <w:ind w:left="9" w:right="61" w:firstLine="5"/>
        <w:rPr>
          <w:rFonts w:ascii="宋体" w:hAnsi="宋体" w:eastAsia="宋体" w:cs="宋体"/>
          <w:sz w:val="24"/>
          <w:szCs w:val="24"/>
        </w:rPr>
      </w:pPr>
      <w:r>
        <w:rPr>
          <w:rFonts w:ascii="Times New Roman" w:hAnsi="Times New Roman" w:eastAsia="Times New Roman" w:cs="Times New Roman"/>
          <w:sz w:val="24"/>
          <w:szCs w:val="24"/>
        </w:rPr>
        <w:t xml:space="preserve">8.1.12    </w:t>
      </w:r>
      <w:r>
        <w:rPr>
          <w:rFonts w:ascii="宋体" w:hAnsi="宋体" w:eastAsia="宋体" w:cs="宋体"/>
          <w:sz w:val="24"/>
          <w:szCs w:val="24"/>
        </w:rPr>
        <w:t>严禁利用输送可燃液体、可燃气体或爆炸</w:t>
      </w:r>
      <w:r>
        <w:rPr>
          <w:rFonts w:ascii="宋体" w:hAnsi="宋体" w:eastAsia="宋体" w:cs="宋体"/>
          <w:spacing w:val="-1"/>
          <w:sz w:val="24"/>
          <w:szCs w:val="24"/>
        </w:rPr>
        <w:t>性气体的金属管道作为电气设备的接</w:t>
      </w:r>
      <w:r>
        <w:rPr>
          <w:rFonts w:ascii="宋体" w:hAnsi="宋体" w:eastAsia="宋体" w:cs="宋体"/>
          <w:sz w:val="24"/>
          <w:szCs w:val="24"/>
        </w:rPr>
        <w:t xml:space="preserve"> </w:t>
      </w:r>
      <w:r>
        <w:rPr>
          <w:rFonts w:ascii="宋体" w:hAnsi="宋体" w:eastAsia="宋体" w:cs="宋体"/>
          <w:spacing w:val="-3"/>
          <w:sz w:val="24"/>
          <w:szCs w:val="24"/>
        </w:rPr>
        <w:t>地保护导体（</w:t>
      </w:r>
      <w:r>
        <w:rPr>
          <w:rFonts w:ascii="Times New Roman" w:hAnsi="Times New Roman" w:eastAsia="Times New Roman" w:cs="Times New Roman"/>
          <w:spacing w:val="-3"/>
          <w:sz w:val="24"/>
          <w:szCs w:val="24"/>
        </w:rPr>
        <w:t>PE</w:t>
      </w:r>
      <w:r>
        <w:rPr>
          <w:rFonts w:ascii="宋体" w:hAnsi="宋体" w:eastAsia="宋体" w:cs="宋体"/>
          <w:spacing w:val="-3"/>
          <w:sz w:val="24"/>
          <w:szCs w:val="24"/>
        </w:rPr>
        <w:t>）。</w:t>
      </w:r>
    </w:p>
    <w:p w14:paraId="6400E5A0">
      <w:pPr>
        <w:spacing w:before="153" w:line="220" w:lineRule="auto"/>
        <w:ind w:left="28"/>
        <w:rPr>
          <w:rFonts w:ascii="宋体" w:hAnsi="宋体" w:eastAsia="宋体" w:cs="宋体"/>
          <w:sz w:val="24"/>
          <w:szCs w:val="24"/>
        </w:rPr>
      </w:pPr>
      <w:r>
        <w:rPr>
          <w:rFonts w:ascii="Times New Roman" w:hAnsi="Times New Roman" w:eastAsia="Times New Roman" w:cs="Times New Roman"/>
          <w:spacing w:val="-3"/>
          <w:sz w:val="24"/>
          <w:szCs w:val="24"/>
        </w:rPr>
        <w:t xml:space="preserve">10.2.4    </w:t>
      </w:r>
      <w:r>
        <w:rPr>
          <w:rFonts w:ascii="宋体" w:hAnsi="宋体" w:eastAsia="宋体" w:cs="宋体"/>
          <w:spacing w:val="-3"/>
          <w:sz w:val="24"/>
          <w:szCs w:val="24"/>
        </w:rPr>
        <w:t>严禁利用额定电压</w:t>
      </w:r>
      <w:r>
        <w:rPr>
          <w:rFonts w:ascii="宋体" w:hAnsi="宋体" w:eastAsia="宋体" w:cs="宋体"/>
          <w:spacing w:val="-41"/>
          <w:sz w:val="24"/>
          <w:szCs w:val="24"/>
        </w:rPr>
        <w:t xml:space="preserve"> </w:t>
      </w:r>
      <w:r>
        <w:rPr>
          <w:rFonts w:ascii="Times New Roman" w:hAnsi="Times New Roman" w:eastAsia="Times New Roman" w:cs="Times New Roman"/>
          <w:spacing w:val="-3"/>
          <w:sz w:val="24"/>
          <w:szCs w:val="24"/>
        </w:rPr>
        <w:t>220V</w:t>
      </w:r>
      <w:r>
        <w:rPr>
          <w:rFonts w:ascii="Times New Roman" w:hAnsi="Times New Roman" w:eastAsia="Times New Roman" w:cs="Times New Roman"/>
          <w:spacing w:val="29"/>
          <w:sz w:val="24"/>
          <w:szCs w:val="24"/>
        </w:rPr>
        <w:t xml:space="preserve"> </w:t>
      </w:r>
      <w:r>
        <w:rPr>
          <w:rFonts w:ascii="宋体" w:hAnsi="宋体" w:eastAsia="宋体" w:cs="宋体"/>
          <w:spacing w:val="-3"/>
          <w:sz w:val="24"/>
          <w:szCs w:val="24"/>
        </w:rPr>
        <w:t>的临时照明灯具作为行灯使用。</w:t>
      </w:r>
    </w:p>
    <w:p w14:paraId="77299D9D">
      <w:pPr>
        <w:spacing w:before="155" w:line="279" w:lineRule="auto"/>
        <w:ind w:left="37" w:right="69" w:hanging="9"/>
        <w:rPr>
          <w:rFonts w:ascii="宋体" w:hAnsi="宋体" w:eastAsia="宋体" w:cs="宋体"/>
          <w:sz w:val="24"/>
          <w:szCs w:val="24"/>
        </w:rPr>
      </w:pPr>
      <w:r>
        <w:rPr>
          <w:rFonts w:ascii="Times New Roman" w:hAnsi="Times New Roman" w:eastAsia="Times New Roman" w:cs="Times New Roman"/>
          <w:spacing w:val="-1"/>
          <w:sz w:val="24"/>
          <w:szCs w:val="24"/>
        </w:rPr>
        <w:t xml:space="preserve">11.2.3    </w:t>
      </w:r>
      <w:r>
        <w:rPr>
          <w:rFonts w:ascii="宋体" w:hAnsi="宋体" w:eastAsia="宋体" w:cs="宋体"/>
          <w:spacing w:val="-1"/>
          <w:sz w:val="24"/>
          <w:szCs w:val="24"/>
        </w:rPr>
        <w:t>在易燃、易爆区域内进行用电设备检修或更换工作时，必须断开电源，严禁带</w:t>
      </w:r>
      <w:r>
        <w:rPr>
          <w:rFonts w:ascii="宋体" w:hAnsi="宋体" w:eastAsia="宋体" w:cs="宋体"/>
          <w:spacing w:val="6"/>
          <w:sz w:val="24"/>
          <w:szCs w:val="24"/>
        </w:rPr>
        <w:t xml:space="preserve"> </w:t>
      </w:r>
      <w:r>
        <w:rPr>
          <w:rFonts w:ascii="宋体" w:hAnsi="宋体" w:eastAsia="宋体" w:cs="宋体"/>
          <w:spacing w:val="-14"/>
          <w:sz w:val="24"/>
          <w:szCs w:val="24"/>
        </w:rPr>
        <w:t>电作业。</w:t>
      </w:r>
    </w:p>
    <w:p w14:paraId="7AD7FF81">
      <w:pPr>
        <w:spacing w:before="154" w:line="220" w:lineRule="auto"/>
        <w:ind w:left="28"/>
        <w:rPr>
          <w:rFonts w:ascii="宋体" w:hAnsi="宋体" w:eastAsia="宋体" w:cs="宋体"/>
          <w:sz w:val="24"/>
          <w:szCs w:val="24"/>
        </w:rPr>
      </w:pPr>
      <w:r>
        <w:rPr>
          <w:rFonts w:ascii="Times New Roman" w:hAnsi="Times New Roman" w:eastAsia="Times New Roman" w:cs="Times New Roman"/>
          <w:spacing w:val="-3"/>
          <w:sz w:val="24"/>
          <w:szCs w:val="24"/>
        </w:rPr>
        <w:t xml:space="preserve">11.4.2    </w:t>
      </w:r>
      <w:r>
        <w:rPr>
          <w:rFonts w:ascii="宋体" w:hAnsi="宋体" w:eastAsia="宋体" w:cs="宋体"/>
          <w:spacing w:val="-3"/>
          <w:sz w:val="24"/>
          <w:szCs w:val="24"/>
        </w:rPr>
        <w:t>在潮湿环境中严禁带电进行设备检修工作。</w:t>
      </w:r>
    </w:p>
    <w:p w14:paraId="75315400">
      <w:pPr>
        <w:pStyle w:val="2"/>
        <w:spacing w:before="302" w:line="226" w:lineRule="auto"/>
        <w:ind w:left="10"/>
        <w:outlineLvl w:val="1"/>
        <w:rPr>
          <w:rFonts w:ascii="宋体" w:hAnsi="宋体" w:eastAsia="宋体" w:cs="宋体"/>
          <w:sz w:val="27"/>
          <w:szCs w:val="27"/>
        </w:rPr>
      </w:pPr>
      <w:bookmarkStart w:id="93" w:name="bookmark139"/>
      <w:bookmarkEnd w:id="93"/>
      <w:r>
        <w:rPr>
          <w:b/>
          <w:bCs/>
          <w:spacing w:val="6"/>
          <w:sz w:val="27"/>
          <w:szCs w:val="27"/>
        </w:rPr>
        <w:t>3.</w:t>
      </w:r>
      <w:r>
        <w:rPr>
          <w:b/>
          <w:bCs/>
          <w:sz w:val="27"/>
          <w:szCs w:val="27"/>
        </w:rPr>
        <w:t>GB</w:t>
      </w:r>
      <w:r>
        <w:rPr>
          <w:b/>
          <w:bCs/>
          <w:spacing w:val="6"/>
          <w:sz w:val="27"/>
          <w:szCs w:val="27"/>
        </w:rPr>
        <w:t xml:space="preserve">50348-2018  </w:t>
      </w:r>
      <w:r>
        <w:rPr>
          <w:rFonts w:ascii="宋体" w:hAnsi="宋体" w:eastAsia="宋体" w:cs="宋体"/>
          <w:b/>
          <w:bCs/>
          <w:spacing w:val="6"/>
          <w:sz w:val="27"/>
          <w:szCs w:val="27"/>
        </w:rPr>
        <w:t>安全防范工程技术标准【强条已</w:t>
      </w:r>
      <w:r>
        <w:rPr>
          <w:rFonts w:ascii="宋体" w:hAnsi="宋体" w:eastAsia="宋体" w:cs="宋体"/>
          <w:b/>
          <w:bCs/>
          <w:spacing w:val="5"/>
          <w:sz w:val="27"/>
          <w:szCs w:val="27"/>
        </w:rPr>
        <w:t>废】</w:t>
      </w:r>
    </w:p>
    <w:p w14:paraId="13CD532D">
      <w:pPr>
        <w:pStyle w:val="2"/>
        <w:spacing w:before="254" w:line="185" w:lineRule="auto"/>
        <w:ind w:left="36"/>
        <w:rPr>
          <w:rFonts w:ascii="宋体" w:hAnsi="宋体" w:eastAsia="宋体" w:cs="宋体"/>
          <w:sz w:val="24"/>
          <w:szCs w:val="24"/>
        </w:rPr>
      </w:pPr>
      <w:r>
        <w:rPr>
          <w:rFonts w:ascii="宋体" w:hAnsi="宋体" w:eastAsia="宋体" w:cs="宋体"/>
          <w:b/>
          <w:bCs/>
          <w:color w:val="EE0000"/>
          <w:spacing w:val="-2"/>
          <w:sz w:val="24"/>
          <w:szCs w:val="24"/>
        </w:rPr>
        <w:t>以下条目已被《</w:t>
      </w:r>
      <w:r>
        <w:rPr>
          <w:b/>
          <w:bCs/>
          <w:color w:val="0563C1"/>
          <w:spacing w:val="-2"/>
          <w:sz w:val="24"/>
          <w:szCs w:val="24"/>
          <w:u w:val="single" w:color="auto"/>
        </w:rPr>
        <w:t xml:space="preserve">GB55029-2022 </w:t>
      </w:r>
      <w:r>
        <w:rPr>
          <w:rFonts w:ascii="宋体" w:hAnsi="宋体" w:eastAsia="宋体" w:cs="宋体"/>
          <w:b/>
          <w:bCs/>
          <w:color w:val="0563C1"/>
          <w:spacing w:val="-2"/>
          <w:sz w:val="24"/>
          <w:szCs w:val="24"/>
          <w:u w:val="single" w:color="auto"/>
        </w:rPr>
        <w:t>安全防范工程通用规范</w:t>
      </w:r>
      <w:r>
        <w:rPr>
          <w:rFonts w:ascii="宋体" w:hAnsi="宋体" w:eastAsia="宋体" w:cs="宋体"/>
          <w:b/>
          <w:bCs/>
          <w:color w:val="EE0000"/>
          <w:spacing w:val="-2"/>
          <w:sz w:val="24"/>
          <w:szCs w:val="24"/>
        </w:rPr>
        <w:t>》替代</w:t>
      </w:r>
    </w:p>
    <w:p w14:paraId="2ECFDD57">
      <w:pPr>
        <w:pStyle w:val="2"/>
        <w:spacing w:before="104" w:line="245" w:lineRule="auto"/>
        <w:ind w:left="11" w:firstLine="14"/>
        <w:rPr>
          <w:rFonts w:ascii="宋体" w:hAnsi="宋体" w:eastAsia="宋体" w:cs="宋体"/>
          <w:sz w:val="24"/>
          <w:szCs w:val="24"/>
        </w:rPr>
      </w:pPr>
      <w:r>
        <w:rPr>
          <w:strike/>
          <w:color w:val="202935"/>
          <w:spacing w:val="-1"/>
          <w:sz w:val="24"/>
          <w:szCs w:val="24"/>
        </w:rPr>
        <w:t xml:space="preserve">1.0.6 </w:t>
      </w:r>
      <w:r>
        <w:rPr>
          <w:rFonts w:ascii="宋体" w:hAnsi="宋体" w:eastAsia="宋体" w:cs="宋体"/>
          <w:strike/>
          <w:color w:val="202935"/>
          <w:spacing w:val="-1"/>
          <w:sz w:val="24"/>
          <w:szCs w:val="24"/>
        </w:rPr>
        <w:t>在涉及国家安全、国家秘密的特殊领域开展安全防范工程建设</w:t>
      </w:r>
      <w:r>
        <w:rPr>
          <w:color w:val="202935"/>
          <w:spacing w:val="-1"/>
          <w:sz w:val="24"/>
          <w:szCs w:val="24"/>
        </w:rPr>
        <w:t>,</w:t>
      </w:r>
      <w:r>
        <w:rPr>
          <w:rFonts w:ascii="宋体" w:hAnsi="宋体" w:eastAsia="宋体" w:cs="宋体"/>
          <w:strike/>
          <w:color w:val="202935"/>
          <w:spacing w:val="-1"/>
          <w:sz w:val="24"/>
          <w:szCs w:val="24"/>
        </w:rPr>
        <w:t>应按照相关管理要</w:t>
      </w:r>
      <w:r>
        <w:rPr>
          <w:rFonts w:ascii="宋体" w:hAnsi="宋体" w:eastAsia="宋体" w:cs="宋体"/>
          <w:color w:val="202935"/>
          <w:spacing w:val="8"/>
          <w:sz w:val="24"/>
          <w:szCs w:val="24"/>
        </w:rPr>
        <w:t xml:space="preserve"> </w:t>
      </w:r>
      <w:r>
        <w:rPr>
          <w:rFonts w:ascii="宋体" w:hAnsi="宋体" w:eastAsia="宋体" w:cs="宋体"/>
          <w:strike/>
          <w:color w:val="202935"/>
          <w:sz w:val="24"/>
          <w:szCs w:val="24"/>
        </w:rPr>
        <w:t>求</w:t>
      </w:r>
      <w:r>
        <w:rPr>
          <w:color w:val="202935"/>
          <w:sz w:val="24"/>
          <w:szCs w:val="24"/>
        </w:rPr>
        <w:t>,</w:t>
      </w:r>
      <w:r>
        <w:rPr>
          <w:rFonts w:ascii="宋体" w:hAnsi="宋体" w:eastAsia="宋体" w:cs="宋体"/>
          <w:strike/>
          <w:color w:val="202935"/>
          <w:sz w:val="24"/>
          <w:szCs w:val="24"/>
        </w:rPr>
        <w:t>严格安全准入机制，选用安全可控的产品设备和符合要</w:t>
      </w:r>
      <w:r>
        <w:rPr>
          <w:rFonts w:ascii="宋体" w:hAnsi="宋体" w:eastAsia="宋体" w:cs="宋体"/>
          <w:strike/>
          <w:color w:val="202935"/>
          <w:spacing w:val="-1"/>
          <w:sz w:val="24"/>
          <w:szCs w:val="24"/>
        </w:rPr>
        <w:t>求的专业设计、施工和服务</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队伍。</w:t>
      </w:r>
    </w:p>
    <w:p w14:paraId="554E30FB">
      <w:pPr>
        <w:pStyle w:val="2"/>
        <w:spacing w:line="263" w:lineRule="auto"/>
      </w:pPr>
    </w:p>
    <w:p w14:paraId="18A7CF34">
      <w:pPr>
        <w:pStyle w:val="2"/>
        <w:spacing w:before="79" w:line="246" w:lineRule="auto"/>
        <w:ind w:left="8" w:right="127"/>
        <w:rPr>
          <w:rFonts w:ascii="宋体" w:hAnsi="宋体" w:eastAsia="宋体" w:cs="宋体"/>
          <w:sz w:val="24"/>
          <w:szCs w:val="24"/>
        </w:rPr>
      </w:pPr>
      <w:r>
        <w:rPr>
          <w:strike/>
          <w:color w:val="202935"/>
          <w:spacing w:val="-1"/>
          <w:sz w:val="24"/>
          <w:szCs w:val="24"/>
        </w:rPr>
        <w:t>6.1.3</w:t>
      </w:r>
      <w:r>
        <w:rPr>
          <w:strike/>
          <w:color w:val="202935"/>
          <w:spacing w:val="23"/>
          <w:sz w:val="24"/>
          <w:szCs w:val="24"/>
        </w:rPr>
        <w:t xml:space="preserve">   </w:t>
      </w:r>
      <w:r>
        <w:rPr>
          <w:rFonts w:ascii="宋体" w:hAnsi="宋体" w:eastAsia="宋体" w:cs="宋体"/>
          <w:strike/>
          <w:color w:val="202935"/>
          <w:spacing w:val="-1"/>
          <w:sz w:val="24"/>
          <w:szCs w:val="24"/>
        </w:rPr>
        <w:t>安全防范工程的设计除应满足系统的安全防范效能外，还应满足紧急情况下疏</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散通道人员疏散的需要。</w:t>
      </w:r>
    </w:p>
    <w:p w14:paraId="7E40D13F">
      <w:pPr>
        <w:pStyle w:val="2"/>
        <w:spacing w:line="263" w:lineRule="auto"/>
      </w:pPr>
    </w:p>
    <w:p w14:paraId="0E7EB2A0">
      <w:pPr>
        <w:pStyle w:val="2"/>
        <w:spacing w:before="78" w:line="247" w:lineRule="auto"/>
        <w:ind w:left="13" w:right="127" w:hanging="4"/>
        <w:rPr>
          <w:rFonts w:ascii="宋体" w:hAnsi="宋体" w:eastAsia="宋体" w:cs="宋体"/>
          <w:sz w:val="24"/>
          <w:szCs w:val="24"/>
        </w:rPr>
      </w:pPr>
      <w:r>
        <w:rPr>
          <w:strike/>
          <w:color w:val="202935"/>
          <w:spacing w:val="-1"/>
          <w:sz w:val="24"/>
          <w:szCs w:val="24"/>
        </w:rPr>
        <w:t>6.1.5</w:t>
      </w:r>
      <w:r>
        <w:rPr>
          <w:strike/>
          <w:color w:val="202935"/>
          <w:spacing w:val="23"/>
          <w:sz w:val="24"/>
          <w:szCs w:val="24"/>
        </w:rPr>
        <w:t xml:space="preserve">   </w:t>
      </w:r>
      <w:r>
        <w:rPr>
          <w:rFonts w:ascii="宋体" w:hAnsi="宋体" w:eastAsia="宋体" w:cs="宋体"/>
          <w:strike/>
          <w:color w:val="202935"/>
          <w:spacing w:val="-1"/>
          <w:sz w:val="24"/>
          <w:szCs w:val="24"/>
        </w:rPr>
        <w:t>高风险保护对象安全防范工程的设计应结合人防能力配备防护、防御和对抗性</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设备、设施和装备。</w:t>
      </w:r>
    </w:p>
    <w:p w14:paraId="4D1CED84">
      <w:pPr>
        <w:pStyle w:val="2"/>
        <w:spacing w:line="262" w:lineRule="auto"/>
      </w:pPr>
    </w:p>
    <w:p w14:paraId="543668C2">
      <w:pPr>
        <w:pStyle w:val="2"/>
        <w:spacing w:before="79"/>
        <w:ind w:left="28" w:right="74" w:hanging="1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6(1)   </w:t>
      </w:r>
      <w:r>
        <w:rPr>
          <w:rFonts w:ascii="宋体" w:hAnsi="宋体" w:eastAsia="宋体" w:cs="宋体"/>
          <w:strike/>
          <w:color w:val="202935"/>
          <w:spacing w:val="1"/>
          <w:sz w:val="24"/>
          <w:szCs w:val="24"/>
        </w:rPr>
        <w:t>应根据场地条件合理规划周界实体屏障的</w:t>
      </w:r>
      <w:r>
        <w:rPr>
          <w:rFonts w:ascii="宋体" w:hAnsi="宋体" w:eastAsia="宋体" w:cs="宋体"/>
          <w:strike/>
          <w:color w:val="202935"/>
          <w:sz w:val="24"/>
          <w:szCs w:val="24"/>
        </w:rPr>
        <w:t>位置；周界实体屏障的防护面</w:t>
      </w:r>
      <w:r>
        <w:rPr>
          <w:rFonts w:ascii="宋体" w:hAnsi="宋体" w:eastAsia="宋体" w:cs="宋体"/>
          <w:color w:val="202935"/>
          <w:sz w:val="24"/>
          <w:szCs w:val="24"/>
        </w:rPr>
        <w:t>一</w:t>
      </w:r>
      <w:r>
        <w:rPr>
          <w:rFonts w:ascii="宋体" w:hAnsi="宋体" w:eastAsia="宋体" w:cs="宋体"/>
          <w:strike/>
          <w:color w:val="202935"/>
          <w:sz w:val="24"/>
          <w:szCs w:val="24"/>
        </w:rPr>
        <w:t>侧</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的区域内不应有可供攀爬的物体或设施；</w:t>
      </w:r>
    </w:p>
    <w:p w14:paraId="3BCF27F4">
      <w:pPr>
        <w:pStyle w:val="2"/>
        <w:tabs>
          <w:tab w:val="left" w:pos="135"/>
        </w:tabs>
        <w:ind w:right="74" w:firstLine="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6(2)   </w:t>
      </w:r>
      <w:r>
        <w:rPr>
          <w:rFonts w:ascii="宋体" w:hAnsi="宋体" w:eastAsia="宋体" w:cs="宋体"/>
          <w:strike/>
          <w:color w:val="202935"/>
          <w:spacing w:val="1"/>
          <w:sz w:val="24"/>
          <w:szCs w:val="24"/>
        </w:rPr>
        <w:t>有防爆安全要求的周界实体屏障，应根据</w:t>
      </w:r>
      <w:r>
        <w:rPr>
          <w:rFonts w:ascii="宋体" w:hAnsi="宋体" w:eastAsia="宋体" w:cs="宋体"/>
          <w:strike/>
          <w:color w:val="202935"/>
          <w:sz w:val="24"/>
          <w:szCs w:val="24"/>
        </w:rPr>
        <w:t>爆炸冲击波对防护区域的破坏力和</w:t>
      </w:r>
      <w:r>
        <w:rPr>
          <w:rFonts w:ascii="宋体" w:hAnsi="宋体" w:eastAsia="宋体" w:cs="宋体"/>
          <w:color w:val="202935"/>
          <w:sz w:val="24"/>
          <w:szCs w:val="24"/>
        </w:rPr>
        <w:t xml:space="preserve"> </w:t>
      </w:r>
      <w:r>
        <w:rPr>
          <w:rFonts w:ascii="宋体" w:hAnsi="宋体" w:eastAsia="宋体" w:cs="宋体"/>
          <w:strike/>
          <w:color w:val="202935"/>
          <w:sz w:val="24"/>
          <w:szCs w:val="24"/>
        </w:rPr>
        <w:tab/>
      </w:r>
      <w:r>
        <w:rPr>
          <w:rFonts w:ascii="宋体" w:hAnsi="宋体" w:eastAsia="宋体" w:cs="宋体"/>
          <w:strike/>
          <w:color w:val="202935"/>
          <w:spacing w:val="-8"/>
          <w:sz w:val="24"/>
          <w:szCs w:val="24"/>
        </w:rPr>
        <w:t>（或）杀伤力，设置有效的安全距离；</w:t>
      </w:r>
    </w:p>
    <w:p w14:paraId="33FB8916">
      <w:pPr>
        <w:pStyle w:val="2"/>
        <w:spacing w:before="4" w:line="239" w:lineRule="auto"/>
        <w:ind w:left="14" w:right="74" w:hanging="5"/>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6(4)   </w:t>
      </w:r>
      <w:r>
        <w:rPr>
          <w:rFonts w:ascii="宋体" w:hAnsi="宋体" w:eastAsia="宋体" w:cs="宋体"/>
          <w:strike/>
          <w:color w:val="202935"/>
          <w:spacing w:val="1"/>
          <w:sz w:val="24"/>
          <w:szCs w:val="24"/>
        </w:rPr>
        <w:t>有防攀越、防穿越、防拆卸、防破坏、防</w:t>
      </w:r>
      <w:r>
        <w:rPr>
          <w:rFonts w:ascii="宋体" w:hAnsi="宋体" w:eastAsia="宋体" w:cs="宋体"/>
          <w:strike/>
          <w:color w:val="202935"/>
          <w:sz w:val="24"/>
          <w:szCs w:val="24"/>
        </w:rPr>
        <w:t>窥视、防投射物等防护功能的周四</w:t>
      </w:r>
      <w:r>
        <w:rPr>
          <w:rFonts w:ascii="宋体" w:hAnsi="宋体" w:eastAsia="宋体" w:cs="宋体"/>
          <w:color w:val="202935"/>
          <w:sz w:val="24"/>
          <w:szCs w:val="24"/>
        </w:rPr>
        <w:t xml:space="preserve"> </w:t>
      </w:r>
      <w:r>
        <w:rPr>
          <w:rFonts w:ascii="宋体" w:hAnsi="宋体" w:eastAsia="宋体" w:cs="宋体"/>
          <w:strike/>
          <w:color w:val="202935"/>
          <w:sz w:val="24"/>
          <w:szCs w:val="24"/>
        </w:rPr>
        <w:t>吤实体屏障，其材质、强度、高度、宽度、深度</w:t>
      </w:r>
      <w:r>
        <w:rPr>
          <w:rFonts w:ascii="宋体" w:hAnsi="宋体" w:eastAsia="宋体" w:cs="宋体"/>
          <w:strike/>
          <w:color w:val="202935"/>
          <w:spacing w:val="-1"/>
          <w:sz w:val="24"/>
          <w:szCs w:val="24"/>
        </w:rPr>
        <w:t>（地面以下）、厚度等应满足防护性</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能的要求；</w:t>
      </w:r>
    </w:p>
    <w:p w14:paraId="73116B14">
      <w:pPr>
        <w:pStyle w:val="2"/>
        <w:spacing w:line="328" w:lineRule="exact"/>
        <w:ind w:left="9"/>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3</w:t>
      </w:r>
      <w:r>
        <w:rPr>
          <w:color w:val="202935"/>
          <w:spacing w:val="-1"/>
          <w:position w:val="2"/>
          <w:sz w:val="24"/>
          <w:szCs w:val="24"/>
        </w:rPr>
        <w:t>.</w:t>
      </w:r>
      <w:r>
        <w:rPr>
          <w:strike/>
          <w:color w:val="202935"/>
          <w:spacing w:val="-1"/>
          <w:position w:val="2"/>
          <w:sz w:val="24"/>
          <w:szCs w:val="24"/>
        </w:rPr>
        <w:t>6(5)</w:t>
      </w:r>
      <w:r>
        <w:rPr>
          <w:strike/>
          <w:color w:val="202935"/>
          <w:spacing w:val="22"/>
          <w:w w:val="101"/>
          <w:position w:val="2"/>
          <w:sz w:val="24"/>
          <w:szCs w:val="24"/>
        </w:rPr>
        <w:t xml:space="preserve">   </w:t>
      </w:r>
      <w:r>
        <w:rPr>
          <w:rFonts w:ascii="宋体" w:hAnsi="宋体" w:eastAsia="宋体" w:cs="宋体"/>
          <w:strike/>
          <w:color w:val="202935"/>
          <w:spacing w:val="-1"/>
          <w:position w:val="2"/>
          <w:sz w:val="24"/>
          <w:szCs w:val="24"/>
        </w:rPr>
        <w:t>穿越周界的河道、涵洞、管廊等孔洞，应采取相应的实体防护措施。</w:t>
      </w:r>
    </w:p>
    <w:p w14:paraId="1B1CA9FA">
      <w:pPr>
        <w:spacing w:line="328" w:lineRule="exact"/>
        <w:rPr>
          <w:rFonts w:ascii="宋体" w:hAnsi="宋体" w:eastAsia="宋体" w:cs="宋体"/>
          <w:sz w:val="24"/>
          <w:szCs w:val="24"/>
        </w:rPr>
        <w:sectPr>
          <w:footerReference r:id="rId68" w:type="default"/>
          <w:pgSz w:w="11907" w:h="16839"/>
          <w:pgMar w:top="400" w:right="1427" w:bottom="743" w:left="1417" w:header="0" w:footer="582" w:gutter="0"/>
          <w:cols w:space="720" w:num="1"/>
        </w:sectPr>
      </w:pPr>
    </w:p>
    <w:p w14:paraId="53A07CC2">
      <w:pPr>
        <w:pStyle w:val="2"/>
        <w:spacing w:line="252" w:lineRule="auto"/>
      </w:pPr>
    </w:p>
    <w:p w14:paraId="27ADCF57">
      <w:pPr>
        <w:pStyle w:val="2"/>
        <w:spacing w:line="252" w:lineRule="auto"/>
      </w:pPr>
    </w:p>
    <w:p w14:paraId="26BBC50D">
      <w:pPr>
        <w:pStyle w:val="2"/>
        <w:spacing w:line="252" w:lineRule="auto"/>
      </w:pPr>
    </w:p>
    <w:p w14:paraId="1AAB40C3">
      <w:pPr>
        <w:pStyle w:val="2"/>
        <w:spacing w:before="78"/>
        <w:ind w:left="10" w:right="106" w:hanging="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8(2)   </w:t>
      </w:r>
      <w:r>
        <w:rPr>
          <w:rFonts w:ascii="宋体" w:hAnsi="宋体" w:eastAsia="宋体" w:cs="宋体"/>
          <w:strike/>
          <w:color w:val="202935"/>
          <w:spacing w:val="1"/>
          <w:sz w:val="24"/>
          <w:szCs w:val="24"/>
        </w:rPr>
        <w:t>车辆实体屏障应具有减速、吸能、阻停等</w:t>
      </w:r>
      <w:r>
        <w:rPr>
          <w:rFonts w:ascii="宋体" w:hAnsi="宋体" w:eastAsia="宋体" w:cs="宋体"/>
          <w:strike/>
          <w:color w:val="202935"/>
          <w:sz w:val="24"/>
          <w:szCs w:val="24"/>
        </w:rPr>
        <w:t>防护功能；应根据防范车辆的载</w:t>
      </w:r>
      <w:r>
        <w:rPr>
          <w:rFonts w:ascii="宋体" w:hAnsi="宋体" w:eastAsia="宋体" w:cs="宋体"/>
          <w:color w:val="202935"/>
          <w:sz w:val="24"/>
          <w:szCs w:val="24"/>
        </w:rPr>
        <w:t xml:space="preserve">  </w:t>
      </w:r>
      <w:r>
        <w:rPr>
          <w:rFonts w:ascii="宋体" w:hAnsi="宋体" w:eastAsia="宋体" w:cs="宋体"/>
          <w:strike/>
          <w:color w:val="202935"/>
          <w:sz w:val="24"/>
          <w:szCs w:val="24"/>
        </w:rPr>
        <w:t>重、速度及其撞击产生的动能、合理设计车辆实体屏障的</w:t>
      </w:r>
      <w:r>
        <w:rPr>
          <w:rFonts w:ascii="宋体" w:hAnsi="宋体" w:eastAsia="宋体" w:cs="宋体"/>
          <w:strike/>
          <w:color w:val="202935"/>
          <w:spacing w:val="-1"/>
          <w:sz w:val="24"/>
          <w:szCs w:val="24"/>
        </w:rPr>
        <w:t>高度、结构强度、固定方式</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和材质材料等，满足相应的防冲撞能力要求；</w:t>
      </w:r>
    </w:p>
    <w:p w14:paraId="777EB142">
      <w:pPr>
        <w:pStyle w:val="2"/>
        <w:spacing w:line="327" w:lineRule="exact"/>
        <w:ind w:left="9"/>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3</w:t>
      </w:r>
      <w:r>
        <w:rPr>
          <w:color w:val="202935"/>
          <w:spacing w:val="1"/>
          <w:position w:val="2"/>
          <w:sz w:val="24"/>
          <w:szCs w:val="24"/>
        </w:rPr>
        <w:t>.</w:t>
      </w:r>
      <w:r>
        <w:rPr>
          <w:strike/>
          <w:color w:val="202935"/>
          <w:spacing w:val="1"/>
          <w:position w:val="2"/>
          <w:sz w:val="24"/>
          <w:szCs w:val="24"/>
        </w:rPr>
        <w:t xml:space="preserve">8(3)   </w:t>
      </w:r>
      <w:r>
        <w:rPr>
          <w:rFonts w:ascii="宋体" w:hAnsi="宋体" w:eastAsia="宋体" w:cs="宋体"/>
          <w:strike/>
          <w:color w:val="202935"/>
          <w:spacing w:val="1"/>
          <w:position w:val="2"/>
          <w:sz w:val="24"/>
          <w:szCs w:val="24"/>
        </w:rPr>
        <w:t>有防爆安全要求的车辆实体屏障，应设置</w:t>
      </w:r>
      <w:r>
        <w:rPr>
          <w:rFonts w:ascii="宋体" w:hAnsi="宋体" w:eastAsia="宋体" w:cs="宋体"/>
          <w:strike/>
          <w:color w:val="202935"/>
          <w:position w:val="2"/>
          <w:sz w:val="24"/>
          <w:szCs w:val="24"/>
        </w:rPr>
        <w:t>有效的安全距离；</w:t>
      </w:r>
    </w:p>
    <w:p w14:paraId="377FF195">
      <w:pPr>
        <w:pStyle w:val="2"/>
        <w:spacing w:line="264" w:lineRule="auto"/>
      </w:pPr>
    </w:p>
    <w:p w14:paraId="06DDB731">
      <w:pPr>
        <w:pStyle w:val="2"/>
        <w:spacing w:before="78"/>
        <w:ind w:left="12" w:right="106" w:hanging="3"/>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11(1)   </w:t>
      </w:r>
      <w:r>
        <w:rPr>
          <w:rFonts w:ascii="宋体" w:hAnsi="宋体" w:eastAsia="宋体" w:cs="宋体"/>
          <w:strike/>
          <w:color w:val="202935"/>
          <w:spacing w:val="1"/>
          <w:sz w:val="24"/>
          <w:szCs w:val="24"/>
        </w:rPr>
        <w:t>根据安全防范管理要求，应合理设计建</w:t>
      </w:r>
      <w:r>
        <w:rPr>
          <w:rFonts w:ascii="宋体" w:hAnsi="宋体" w:eastAsia="宋体" w:cs="宋体"/>
          <w:strike/>
          <w:color w:val="202935"/>
          <w:sz w:val="24"/>
          <w:szCs w:val="24"/>
        </w:rPr>
        <w:t>（构）筑物场地道路的安全距离、</w:t>
      </w:r>
      <w:r>
        <w:rPr>
          <w:rFonts w:ascii="宋体" w:hAnsi="宋体" w:eastAsia="宋体" w:cs="宋体"/>
          <w:color w:val="202935"/>
          <w:sz w:val="24"/>
          <w:szCs w:val="24"/>
        </w:rPr>
        <w:t xml:space="preserve"> </w:t>
      </w:r>
      <w:r>
        <w:rPr>
          <w:rFonts w:ascii="宋体" w:hAnsi="宋体" w:eastAsia="宋体" w:cs="宋体"/>
          <w:strike/>
          <w:color w:val="202935"/>
          <w:sz w:val="24"/>
          <w:szCs w:val="24"/>
        </w:rPr>
        <w:t>线形和行进路线；应利用场地和景观形成缓冲区、隔</w:t>
      </w:r>
      <w:r>
        <w:rPr>
          <w:rFonts w:ascii="宋体" w:hAnsi="宋体" w:eastAsia="宋体" w:cs="宋体"/>
          <w:strike/>
          <w:color w:val="202935"/>
          <w:spacing w:val="-1"/>
          <w:sz w:val="24"/>
          <w:szCs w:val="24"/>
        </w:rPr>
        <w:t>离带、障碍等，发挥场地与景观</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的实体防护功能；</w:t>
      </w:r>
    </w:p>
    <w:p w14:paraId="74C5583D">
      <w:pPr>
        <w:pStyle w:val="2"/>
        <w:tabs>
          <w:tab w:val="left" w:pos="135"/>
        </w:tabs>
        <w:spacing w:before="1" w:line="246" w:lineRule="auto"/>
        <w:ind w:right="106" w:firstLine="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11(3)</w:t>
      </w:r>
      <w:r>
        <w:rPr>
          <w:strike/>
          <w:color w:val="202935"/>
          <w:spacing w:val="23"/>
          <w:sz w:val="24"/>
          <w:szCs w:val="24"/>
        </w:rPr>
        <w:t xml:space="preserve">   </w:t>
      </w:r>
      <w:r>
        <w:rPr>
          <w:rFonts w:ascii="宋体" w:hAnsi="宋体" w:eastAsia="宋体" w:cs="宋体"/>
          <w:strike/>
          <w:color w:val="202935"/>
          <w:spacing w:val="-1"/>
          <w:sz w:val="24"/>
          <w:szCs w:val="24"/>
        </w:rPr>
        <w:t>具有易燃、易爆、有毒、放射性等特性的保护目标，其存放场所或独立建</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ab/>
      </w:r>
      <w:r>
        <w:rPr>
          <w:rFonts w:ascii="宋体" w:hAnsi="宋体" w:eastAsia="宋体" w:cs="宋体"/>
          <w:strike/>
          <w:color w:val="202935"/>
          <w:spacing w:val="-7"/>
          <w:sz w:val="24"/>
          <w:szCs w:val="24"/>
        </w:rPr>
        <w:t>（构）筑物应设置在隐蔽和远离人群的位置。</w:t>
      </w:r>
    </w:p>
    <w:p w14:paraId="52917F60">
      <w:pPr>
        <w:pStyle w:val="2"/>
        <w:spacing w:line="263" w:lineRule="auto"/>
      </w:pPr>
    </w:p>
    <w:p w14:paraId="51371632">
      <w:pPr>
        <w:pStyle w:val="2"/>
        <w:spacing w:before="79"/>
        <w:ind w:left="9" w:right="106"/>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12(3)   </w:t>
      </w:r>
      <w:r>
        <w:rPr>
          <w:rFonts w:ascii="宋体" w:hAnsi="宋体" w:eastAsia="宋体" w:cs="宋体"/>
          <w:strike/>
          <w:color w:val="202935"/>
          <w:spacing w:val="1"/>
          <w:sz w:val="24"/>
          <w:szCs w:val="24"/>
        </w:rPr>
        <w:t>有防爆炸要求时，建筑物墙体应进行防</w:t>
      </w:r>
      <w:r>
        <w:rPr>
          <w:rFonts w:ascii="宋体" w:hAnsi="宋体" w:eastAsia="宋体" w:cs="宋体"/>
          <w:strike/>
          <w:color w:val="202935"/>
          <w:sz w:val="24"/>
          <w:szCs w:val="24"/>
        </w:rPr>
        <w:t>爆结构设计；有保密要求的场所，</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应进行信息屏蔽、防窃听窃视设计；</w:t>
      </w:r>
    </w:p>
    <w:p w14:paraId="251DF464">
      <w:pPr>
        <w:pStyle w:val="2"/>
        <w:spacing w:line="246" w:lineRule="auto"/>
        <w:ind w:left="18" w:right="106" w:hanging="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12(4)</w:t>
      </w:r>
      <w:r>
        <w:rPr>
          <w:strike/>
          <w:color w:val="202935"/>
          <w:spacing w:val="23"/>
          <w:sz w:val="24"/>
          <w:szCs w:val="24"/>
        </w:rPr>
        <w:t xml:space="preserve">   </w:t>
      </w:r>
      <w:r>
        <w:rPr>
          <w:rFonts w:ascii="宋体" w:hAnsi="宋体" w:eastAsia="宋体" w:cs="宋体"/>
          <w:strike/>
          <w:color w:val="202935"/>
          <w:spacing w:val="-1"/>
          <w:sz w:val="24"/>
          <w:szCs w:val="24"/>
        </w:rPr>
        <w:t>建（构）筑物的洞口、管沟、管廊、吊顶、风管、桥架、管道等空间尺寸</w:t>
      </w:r>
      <w:r>
        <w:rPr>
          <w:rFonts w:ascii="宋体" w:hAnsi="宋体" w:eastAsia="宋体" w:cs="宋体"/>
          <w:color w:val="202935"/>
          <w:spacing w:val="1"/>
          <w:sz w:val="24"/>
          <w:szCs w:val="24"/>
        </w:rPr>
        <w:t xml:space="preserve"> </w:t>
      </w:r>
      <w:r>
        <w:rPr>
          <w:rFonts w:ascii="宋体" w:hAnsi="宋体" w:eastAsia="宋体" w:cs="宋体"/>
          <w:strike/>
          <w:color w:val="202935"/>
          <w:spacing w:val="-1"/>
          <w:sz w:val="24"/>
          <w:szCs w:val="24"/>
        </w:rPr>
        <w:t>能够容纳防范对象隐蔽进入时，应采用实体屏障或实体构件进行封闭和阻挡。</w:t>
      </w:r>
    </w:p>
    <w:p w14:paraId="157277F1">
      <w:pPr>
        <w:pStyle w:val="2"/>
        <w:spacing w:line="264" w:lineRule="auto"/>
      </w:pPr>
    </w:p>
    <w:p w14:paraId="21F6DD47">
      <w:pPr>
        <w:pStyle w:val="2"/>
        <w:spacing w:before="78"/>
        <w:ind w:left="14" w:right="106" w:hanging="5"/>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13(2)   </w:t>
      </w:r>
      <w:r>
        <w:rPr>
          <w:rFonts w:ascii="宋体" w:hAnsi="宋体" w:eastAsia="宋体" w:cs="宋体"/>
          <w:strike/>
          <w:color w:val="202935"/>
          <w:spacing w:val="1"/>
          <w:sz w:val="24"/>
          <w:szCs w:val="24"/>
        </w:rPr>
        <w:t>有防盗要求时，保护目标所在的部位或</w:t>
      </w:r>
      <w:r>
        <w:rPr>
          <w:rFonts w:ascii="宋体" w:hAnsi="宋体" w:eastAsia="宋体" w:cs="宋体"/>
          <w:strike/>
          <w:color w:val="202935"/>
          <w:sz w:val="24"/>
          <w:szCs w:val="24"/>
        </w:rPr>
        <w:t>区域应按照国家现行标准采用相应</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安全级别的防盗安全门和相应防护能力的防盗窗；</w:t>
      </w:r>
    </w:p>
    <w:p w14:paraId="2E44E9A4">
      <w:pPr>
        <w:pStyle w:val="2"/>
        <w:ind w:left="9" w:right="106"/>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13(3)   </w:t>
      </w:r>
      <w:r>
        <w:rPr>
          <w:rFonts w:ascii="宋体" w:hAnsi="宋体" w:eastAsia="宋体" w:cs="宋体"/>
          <w:strike/>
          <w:color w:val="202935"/>
          <w:spacing w:val="1"/>
          <w:sz w:val="24"/>
          <w:szCs w:val="24"/>
        </w:rPr>
        <w:t>有防爆炸和（或）防弹和（或）防砸要</w:t>
      </w:r>
      <w:r>
        <w:rPr>
          <w:rFonts w:ascii="宋体" w:hAnsi="宋体" w:eastAsia="宋体" w:cs="宋体"/>
          <w:strike/>
          <w:color w:val="202935"/>
          <w:sz w:val="24"/>
          <w:szCs w:val="24"/>
        </w:rPr>
        <w:t>求时，保护目标的门窗应采用具有</w:t>
      </w:r>
      <w:r>
        <w:rPr>
          <w:rFonts w:ascii="宋体" w:hAnsi="宋体" w:eastAsia="宋体" w:cs="宋体"/>
          <w:color w:val="202935"/>
          <w:sz w:val="24"/>
          <w:szCs w:val="24"/>
        </w:rPr>
        <w:t xml:space="preserve"> </w:t>
      </w:r>
      <w:r>
        <w:rPr>
          <w:rFonts w:ascii="宋体" w:hAnsi="宋体" w:eastAsia="宋体" w:cs="宋体"/>
          <w:strike/>
          <w:color w:val="202935"/>
          <w:sz w:val="24"/>
          <w:szCs w:val="24"/>
        </w:rPr>
        <w:t>相应防护能力的材料和结构；选用的防爆炸和（或）防弹和</w:t>
      </w:r>
      <w:r>
        <w:rPr>
          <w:rFonts w:ascii="宋体" w:hAnsi="宋体" w:eastAsia="宋体" w:cs="宋体"/>
          <w:strike/>
          <w:color w:val="202935"/>
          <w:spacing w:val="-1"/>
          <w:sz w:val="24"/>
          <w:szCs w:val="24"/>
        </w:rPr>
        <w:t>（或）防砸玻璃等材料应</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符合国家现行标准中相应安全级别的规定；</w:t>
      </w:r>
    </w:p>
    <w:p w14:paraId="39E0A769">
      <w:pPr>
        <w:pStyle w:val="2"/>
        <w:spacing w:before="2" w:line="246" w:lineRule="auto"/>
        <w:ind w:left="18" w:right="106" w:hanging="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3</w:t>
      </w:r>
      <w:r>
        <w:rPr>
          <w:color w:val="202935"/>
          <w:spacing w:val="1"/>
          <w:sz w:val="24"/>
          <w:szCs w:val="24"/>
        </w:rPr>
        <w:t>.</w:t>
      </w:r>
      <w:r>
        <w:rPr>
          <w:strike/>
          <w:color w:val="202935"/>
          <w:spacing w:val="1"/>
          <w:sz w:val="24"/>
          <w:szCs w:val="24"/>
        </w:rPr>
        <w:t xml:space="preserve">13(4)   </w:t>
      </w:r>
      <w:r>
        <w:rPr>
          <w:rFonts w:ascii="宋体" w:hAnsi="宋体" w:eastAsia="宋体" w:cs="宋体"/>
          <w:strike/>
          <w:color w:val="202935"/>
          <w:spacing w:val="1"/>
          <w:sz w:val="24"/>
          <w:szCs w:val="24"/>
        </w:rPr>
        <w:t>金库等特殊保护目标库房的总库门应采</w:t>
      </w:r>
      <w:r>
        <w:rPr>
          <w:rFonts w:ascii="宋体" w:hAnsi="宋体" w:eastAsia="宋体" w:cs="宋体"/>
          <w:strike/>
          <w:color w:val="202935"/>
          <w:sz w:val="24"/>
          <w:szCs w:val="24"/>
        </w:rPr>
        <w:t>用具有防破坏、防火、防水等相应</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能力的安全门。</w:t>
      </w:r>
    </w:p>
    <w:p w14:paraId="59069DB1">
      <w:pPr>
        <w:pStyle w:val="2"/>
        <w:spacing w:line="263" w:lineRule="auto"/>
      </w:pPr>
    </w:p>
    <w:p w14:paraId="05A5F3CE">
      <w:pPr>
        <w:pStyle w:val="2"/>
        <w:spacing w:before="78"/>
        <w:ind w:left="14" w:hanging="5"/>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 xml:space="preserve">3(2)   </w:t>
      </w:r>
      <w:r>
        <w:rPr>
          <w:rFonts w:ascii="宋体" w:hAnsi="宋体" w:eastAsia="宋体" w:cs="宋体"/>
          <w:strike/>
          <w:color w:val="202935"/>
          <w:spacing w:val="1"/>
          <w:sz w:val="24"/>
          <w:szCs w:val="24"/>
        </w:rPr>
        <w:t>入侵和紧急报警系统应能准确、及时地探</w:t>
      </w:r>
      <w:r>
        <w:rPr>
          <w:rFonts w:ascii="宋体" w:hAnsi="宋体" w:eastAsia="宋体" w:cs="宋体"/>
          <w:strike/>
          <w:color w:val="202935"/>
          <w:sz w:val="24"/>
          <w:szCs w:val="24"/>
        </w:rPr>
        <w:t>测入侵行为或触发紧急报警装置，</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并发出入侵报警信号或紧急报警信号。</w:t>
      </w:r>
    </w:p>
    <w:p w14:paraId="47DA7198">
      <w:pPr>
        <w:pStyle w:val="2"/>
        <w:spacing w:before="3" w:line="239" w:lineRule="auto"/>
        <w:ind w:left="14" w:right="240" w:hanging="5"/>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3(3)</w:t>
      </w:r>
      <w:r>
        <w:rPr>
          <w:strike/>
          <w:color w:val="202935"/>
          <w:spacing w:val="23"/>
          <w:sz w:val="24"/>
          <w:szCs w:val="24"/>
        </w:rPr>
        <w:t xml:space="preserve">   </w:t>
      </w:r>
      <w:r>
        <w:rPr>
          <w:rFonts w:ascii="宋体" w:hAnsi="宋体" w:eastAsia="宋体" w:cs="宋体"/>
          <w:strike/>
          <w:color w:val="202935"/>
          <w:spacing w:val="-1"/>
          <w:sz w:val="24"/>
          <w:szCs w:val="24"/>
        </w:rPr>
        <w:t>当下列设备被替换或外壳被打开时，入侵和紧急报警系统应能发出防拆信</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号：</w:t>
      </w:r>
    </w:p>
    <w:p w14:paraId="74000F5F">
      <w:pPr>
        <w:pStyle w:val="2"/>
        <w:spacing w:line="320" w:lineRule="exact"/>
        <w:ind w:left="26"/>
        <w:rPr>
          <w:rFonts w:ascii="宋体" w:hAnsi="宋体" w:eastAsia="宋体" w:cs="宋体"/>
          <w:sz w:val="24"/>
          <w:szCs w:val="24"/>
        </w:rPr>
      </w:pPr>
      <w:r>
        <w:rPr>
          <w:strike/>
          <w:color w:val="202935"/>
          <w:spacing w:val="-3"/>
          <w:position w:val="2"/>
          <w:sz w:val="24"/>
          <w:szCs w:val="24"/>
        </w:rPr>
        <w:t>1)</w:t>
      </w:r>
      <w:r>
        <w:rPr>
          <w:strike/>
          <w:color w:val="202935"/>
          <w:spacing w:val="18"/>
          <w:position w:val="2"/>
          <w:sz w:val="24"/>
          <w:szCs w:val="24"/>
        </w:rPr>
        <w:t xml:space="preserve">   </w:t>
      </w:r>
      <w:r>
        <w:rPr>
          <w:rFonts w:ascii="宋体" w:hAnsi="宋体" w:eastAsia="宋体" w:cs="宋体"/>
          <w:strike/>
          <w:color w:val="202935"/>
          <w:spacing w:val="-3"/>
          <w:position w:val="2"/>
          <w:sz w:val="24"/>
          <w:szCs w:val="24"/>
        </w:rPr>
        <w:t>控制指示设备、告警装置；</w:t>
      </w:r>
    </w:p>
    <w:p w14:paraId="5E5D0380">
      <w:pPr>
        <w:pStyle w:val="2"/>
        <w:ind w:left="6"/>
        <w:rPr>
          <w:rFonts w:ascii="宋体" w:hAnsi="宋体" w:eastAsia="宋体" w:cs="宋体"/>
          <w:sz w:val="24"/>
          <w:szCs w:val="24"/>
        </w:rPr>
      </w:pPr>
      <w:r>
        <w:rPr>
          <w:strike/>
          <w:color w:val="202935"/>
          <w:spacing w:val="-2"/>
          <w:sz w:val="24"/>
          <w:szCs w:val="24"/>
        </w:rPr>
        <w:t>2)</w:t>
      </w:r>
      <w:r>
        <w:rPr>
          <w:strike/>
          <w:color w:val="202935"/>
          <w:spacing w:val="19"/>
          <w:w w:val="101"/>
          <w:sz w:val="24"/>
          <w:szCs w:val="24"/>
        </w:rPr>
        <w:t xml:space="preserve">   </w:t>
      </w:r>
      <w:r>
        <w:rPr>
          <w:rFonts w:ascii="宋体" w:hAnsi="宋体" w:eastAsia="宋体" w:cs="宋体"/>
          <w:strike/>
          <w:color w:val="202935"/>
          <w:spacing w:val="-2"/>
          <w:sz w:val="24"/>
          <w:szCs w:val="24"/>
        </w:rPr>
        <w:t>安全等级</w:t>
      </w:r>
      <w:r>
        <w:rPr>
          <w:rFonts w:ascii="宋体" w:hAnsi="宋体" w:eastAsia="宋体" w:cs="宋体"/>
          <w:strike/>
          <w:color w:val="202935"/>
          <w:spacing w:val="-53"/>
          <w:sz w:val="24"/>
          <w:szCs w:val="24"/>
        </w:rPr>
        <w:t xml:space="preserve"> </w:t>
      </w:r>
      <w:r>
        <w:rPr>
          <w:strike/>
          <w:color w:val="202935"/>
          <w:spacing w:val="-2"/>
          <w:sz w:val="24"/>
          <w:szCs w:val="24"/>
        </w:rPr>
        <w:t>2</w:t>
      </w:r>
      <w:r>
        <w:rPr>
          <w:rFonts w:ascii="宋体" w:hAnsi="宋体" w:eastAsia="宋体" w:cs="宋体"/>
          <w:strike/>
          <w:color w:val="202935"/>
          <w:spacing w:val="-2"/>
          <w:sz w:val="24"/>
          <w:szCs w:val="24"/>
        </w:rPr>
        <w:t>、</w:t>
      </w:r>
      <w:r>
        <w:rPr>
          <w:strike/>
          <w:color w:val="202935"/>
          <w:spacing w:val="-2"/>
          <w:sz w:val="24"/>
          <w:szCs w:val="24"/>
        </w:rPr>
        <w:t>3</w:t>
      </w:r>
      <w:r>
        <w:rPr>
          <w:rFonts w:ascii="宋体" w:hAnsi="宋体" w:eastAsia="宋体" w:cs="宋体"/>
          <w:strike/>
          <w:color w:val="202935"/>
          <w:spacing w:val="-2"/>
          <w:sz w:val="24"/>
          <w:szCs w:val="24"/>
        </w:rPr>
        <w:t>、</w:t>
      </w:r>
      <w:r>
        <w:rPr>
          <w:strike/>
          <w:color w:val="202935"/>
          <w:spacing w:val="-2"/>
          <w:sz w:val="24"/>
          <w:szCs w:val="24"/>
        </w:rPr>
        <w:t xml:space="preserve">4 </w:t>
      </w:r>
      <w:r>
        <w:rPr>
          <w:rFonts w:ascii="宋体" w:hAnsi="宋体" w:eastAsia="宋体" w:cs="宋体"/>
          <w:strike/>
          <w:color w:val="202935"/>
          <w:spacing w:val="-2"/>
          <w:sz w:val="24"/>
          <w:szCs w:val="24"/>
        </w:rPr>
        <w:t>级的入侵探测器；</w:t>
      </w:r>
    </w:p>
    <w:p w14:paraId="79013D3E">
      <w:pPr>
        <w:pStyle w:val="2"/>
        <w:ind w:left="10"/>
        <w:rPr>
          <w:rFonts w:ascii="宋体" w:hAnsi="宋体" w:eastAsia="宋体" w:cs="宋体"/>
          <w:sz w:val="24"/>
          <w:szCs w:val="24"/>
        </w:rPr>
      </w:pPr>
      <w:r>
        <w:rPr>
          <w:strike/>
          <w:color w:val="202935"/>
          <w:spacing w:val="-3"/>
          <w:sz w:val="24"/>
          <w:szCs w:val="24"/>
        </w:rPr>
        <w:t>3)</w:t>
      </w:r>
      <w:r>
        <w:rPr>
          <w:strike/>
          <w:color w:val="202935"/>
          <w:spacing w:val="20"/>
          <w:sz w:val="24"/>
          <w:szCs w:val="24"/>
        </w:rPr>
        <w:t xml:space="preserve">   </w:t>
      </w:r>
      <w:r>
        <w:rPr>
          <w:rFonts w:ascii="宋体" w:hAnsi="宋体" w:eastAsia="宋体" w:cs="宋体"/>
          <w:strike/>
          <w:color w:val="202935"/>
          <w:spacing w:val="-3"/>
          <w:sz w:val="24"/>
          <w:szCs w:val="24"/>
        </w:rPr>
        <w:t>安全等级</w:t>
      </w:r>
      <w:r>
        <w:rPr>
          <w:rFonts w:ascii="宋体" w:hAnsi="宋体" w:eastAsia="宋体" w:cs="宋体"/>
          <w:strike/>
          <w:color w:val="202935"/>
          <w:spacing w:val="-48"/>
          <w:sz w:val="24"/>
          <w:szCs w:val="24"/>
        </w:rPr>
        <w:t xml:space="preserve"> </w:t>
      </w:r>
      <w:r>
        <w:rPr>
          <w:strike/>
          <w:color w:val="202935"/>
          <w:spacing w:val="-3"/>
          <w:sz w:val="24"/>
          <w:szCs w:val="24"/>
        </w:rPr>
        <w:t>3</w:t>
      </w:r>
      <w:r>
        <w:rPr>
          <w:rFonts w:ascii="宋体" w:hAnsi="宋体" w:eastAsia="宋体" w:cs="宋体"/>
          <w:strike/>
          <w:color w:val="202935"/>
          <w:spacing w:val="-3"/>
          <w:sz w:val="24"/>
          <w:szCs w:val="24"/>
        </w:rPr>
        <w:t>、</w:t>
      </w:r>
      <w:r>
        <w:rPr>
          <w:strike/>
          <w:color w:val="202935"/>
          <w:spacing w:val="-3"/>
          <w:sz w:val="24"/>
          <w:szCs w:val="24"/>
        </w:rPr>
        <w:t xml:space="preserve">4 </w:t>
      </w:r>
      <w:r>
        <w:rPr>
          <w:rFonts w:ascii="宋体" w:hAnsi="宋体" w:eastAsia="宋体" w:cs="宋体"/>
          <w:strike/>
          <w:color w:val="202935"/>
          <w:spacing w:val="-3"/>
          <w:sz w:val="24"/>
          <w:szCs w:val="24"/>
        </w:rPr>
        <w:t>级的接线盒。</w:t>
      </w:r>
    </w:p>
    <w:p w14:paraId="1445D03C">
      <w:pPr>
        <w:pStyle w:val="2"/>
        <w:spacing w:before="2" w:line="236" w:lineRule="auto"/>
        <w:ind w:left="20" w:right="240" w:hanging="1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3(4)</w:t>
      </w:r>
      <w:r>
        <w:rPr>
          <w:strike/>
          <w:color w:val="202935"/>
          <w:spacing w:val="23"/>
          <w:sz w:val="24"/>
          <w:szCs w:val="24"/>
        </w:rPr>
        <w:t xml:space="preserve">   </w:t>
      </w:r>
      <w:r>
        <w:rPr>
          <w:rFonts w:ascii="宋体" w:hAnsi="宋体" w:eastAsia="宋体" w:cs="宋体"/>
          <w:strike/>
          <w:color w:val="202935"/>
          <w:spacing w:val="-1"/>
          <w:sz w:val="24"/>
          <w:szCs w:val="24"/>
        </w:rPr>
        <w:t>当报警信号传输被断路／短路、探测器电源线被切断、系统设备出现故障</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时，控制指示设备应发出声、光报警信号。</w:t>
      </w:r>
    </w:p>
    <w:p w14:paraId="1538F28E">
      <w:pPr>
        <w:pStyle w:val="2"/>
        <w:ind w:left="6" w:right="125" w:firstLine="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 xml:space="preserve">3(5)   </w:t>
      </w:r>
      <w:r>
        <w:rPr>
          <w:rFonts w:ascii="宋体" w:hAnsi="宋体" w:eastAsia="宋体" w:cs="宋体"/>
          <w:strike/>
          <w:color w:val="202935"/>
          <w:spacing w:val="1"/>
          <w:sz w:val="24"/>
          <w:szCs w:val="24"/>
        </w:rPr>
        <w:t>应能按时间、区域、部位，对全部或部分</w:t>
      </w:r>
      <w:r>
        <w:rPr>
          <w:rFonts w:ascii="宋体" w:hAnsi="宋体" w:eastAsia="宋体" w:cs="宋体"/>
          <w:strike/>
          <w:color w:val="202935"/>
          <w:sz w:val="24"/>
          <w:szCs w:val="24"/>
        </w:rPr>
        <w:t>探测防区（回路）的瞬时防区、</w:t>
      </w:r>
      <w:r>
        <w:rPr>
          <w:rFonts w:ascii="宋体" w:hAnsi="宋体" w:eastAsia="宋体" w:cs="宋体"/>
          <w:color w:val="202935"/>
          <w:sz w:val="24"/>
          <w:szCs w:val="24"/>
        </w:rPr>
        <w:t xml:space="preserve">  </w:t>
      </w:r>
      <w:r>
        <w:rPr>
          <w:strike/>
          <w:color w:val="202935"/>
          <w:spacing w:val="-5"/>
          <w:sz w:val="24"/>
          <w:szCs w:val="24"/>
        </w:rPr>
        <w:t>24h</w:t>
      </w:r>
      <w:r>
        <w:rPr>
          <w:strike/>
          <w:color w:val="202935"/>
          <w:spacing w:val="20"/>
          <w:w w:val="101"/>
          <w:sz w:val="24"/>
          <w:szCs w:val="24"/>
        </w:rPr>
        <w:t xml:space="preserve"> </w:t>
      </w:r>
      <w:r>
        <w:rPr>
          <w:rFonts w:ascii="宋体" w:hAnsi="宋体" w:eastAsia="宋体" w:cs="宋体"/>
          <w:strike/>
          <w:color w:val="202935"/>
          <w:spacing w:val="-5"/>
          <w:sz w:val="24"/>
          <w:szCs w:val="24"/>
        </w:rPr>
        <w:t>防区、延时防区、设防、撤防、旁路、传输、告警、胁迫报警等功能进行设置。</w:t>
      </w:r>
      <w:r>
        <w:rPr>
          <w:rFonts w:ascii="宋体" w:hAnsi="宋体" w:eastAsia="宋体" w:cs="宋体"/>
          <w:strike/>
          <w:color w:val="202935"/>
          <w:spacing w:val="35"/>
          <w:sz w:val="24"/>
          <w:szCs w:val="24"/>
        </w:rPr>
        <w:t xml:space="preserve"> </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应能对系统用户权限进行设置。</w:t>
      </w:r>
    </w:p>
    <w:p w14:paraId="1441373F">
      <w:pPr>
        <w:pStyle w:val="2"/>
        <w:spacing w:before="3" w:line="239" w:lineRule="auto"/>
        <w:ind w:left="27" w:hanging="18"/>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3(6)</w:t>
      </w:r>
      <w:r>
        <w:rPr>
          <w:strike/>
          <w:color w:val="202935"/>
          <w:spacing w:val="23"/>
          <w:sz w:val="24"/>
          <w:szCs w:val="24"/>
        </w:rPr>
        <w:t xml:space="preserve">   </w:t>
      </w:r>
      <w:r>
        <w:rPr>
          <w:rFonts w:ascii="宋体" w:hAnsi="宋体" w:eastAsia="宋体" w:cs="宋体"/>
          <w:strike/>
          <w:color w:val="202935"/>
          <w:spacing w:val="-1"/>
          <w:sz w:val="24"/>
          <w:szCs w:val="24"/>
        </w:rPr>
        <w:t>系统用户应能根据权限类别不同，按时间、区域、部位对全部或部分探测防</w:t>
      </w:r>
      <w:r>
        <w:rPr>
          <w:rFonts w:ascii="宋体" w:hAnsi="宋体" w:eastAsia="宋体" w:cs="宋体"/>
          <w:color w:val="202935"/>
          <w:spacing w:val="1"/>
          <w:sz w:val="24"/>
          <w:szCs w:val="24"/>
        </w:rPr>
        <w:t xml:space="preserve"> </w:t>
      </w:r>
      <w:r>
        <w:rPr>
          <w:rFonts w:ascii="宋体" w:hAnsi="宋体" w:eastAsia="宋体" w:cs="宋体"/>
          <w:strike/>
          <w:color w:val="202935"/>
          <w:spacing w:val="-1"/>
          <w:sz w:val="24"/>
          <w:szCs w:val="24"/>
        </w:rPr>
        <w:t>区进行自动或手动设防、撤防、旁路等操作，并应能实现胁迫报警操作。</w:t>
      </w:r>
    </w:p>
    <w:p w14:paraId="2DE1A1B6">
      <w:pPr>
        <w:pStyle w:val="2"/>
        <w:spacing w:before="2" w:line="239" w:lineRule="auto"/>
        <w:ind w:left="8"/>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3(7)</w:t>
      </w:r>
      <w:r>
        <w:rPr>
          <w:strike/>
          <w:color w:val="202935"/>
          <w:spacing w:val="23"/>
          <w:sz w:val="24"/>
          <w:szCs w:val="24"/>
        </w:rPr>
        <w:t xml:space="preserve">   </w:t>
      </w:r>
      <w:r>
        <w:rPr>
          <w:rFonts w:ascii="宋体" w:hAnsi="宋体" w:eastAsia="宋体" w:cs="宋体"/>
          <w:strike/>
          <w:color w:val="202935"/>
          <w:spacing w:val="-1"/>
          <w:sz w:val="24"/>
          <w:szCs w:val="24"/>
        </w:rPr>
        <w:t>系统应能对入侵、紧急、防拆、故障等报警信号来源、控制指示设备以及远</w:t>
      </w:r>
      <w:r>
        <w:rPr>
          <w:rFonts w:ascii="宋体" w:hAnsi="宋体" w:eastAsia="宋体" w:cs="宋体"/>
          <w:color w:val="202935"/>
          <w:spacing w:val="1"/>
          <w:sz w:val="24"/>
          <w:szCs w:val="24"/>
        </w:rPr>
        <w:t xml:space="preserve"> </w:t>
      </w:r>
      <w:r>
        <w:rPr>
          <w:rFonts w:ascii="宋体" w:hAnsi="宋体" w:eastAsia="宋体" w:cs="宋体"/>
          <w:strike/>
          <w:color w:val="202935"/>
          <w:spacing w:val="-1"/>
          <w:sz w:val="24"/>
          <w:szCs w:val="24"/>
        </w:rPr>
        <w:t>程信息传输工作状态有明显清晰的指示。</w:t>
      </w:r>
    </w:p>
    <w:p w14:paraId="22B2C412">
      <w:pPr>
        <w:pStyle w:val="2"/>
        <w:ind w:left="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3(8)</w:t>
      </w:r>
      <w:r>
        <w:rPr>
          <w:strike/>
          <w:color w:val="202935"/>
          <w:spacing w:val="23"/>
          <w:sz w:val="24"/>
          <w:szCs w:val="24"/>
        </w:rPr>
        <w:t xml:space="preserve">   </w:t>
      </w:r>
      <w:r>
        <w:rPr>
          <w:rFonts w:ascii="宋体" w:hAnsi="宋体" w:eastAsia="宋体" w:cs="宋体"/>
          <w:strike/>
          <w:color w:val="202935"/>
          <w:spacing w:val="-1"/>
          <w:sz w:val="24"/>
          <w:szCs w:val="24"/>
        </w:rPr>
        <w:t>当系统出现入侵、紧急、防拆、故障、胁迫等报警状态和非法操作时，系统</w:t>
      </w:r>
      <w:r>
        <w:rPr>
          <w:rFonts w:ascii="宋体" w:hAnsi="宋体" w:eastAsia="宋体" w:cs="宋体"/>
          <w:color w:val="202935"/>
          <w:spacing w:val="1"/>
          <w:sz w:val="24"/>
          <w:szCs w:val="24"/>
        </w:rPr>
        <w:t xml:space="preserve"> </w:t>
      </w:r>
      <w:r>
        <w:rPr>
          <w:rFonts w:ascii="宋体" w:hAnsi="宋体" w:eastAsia="宋体" w:cs="宋体"/>
          <w:strike/>
          <w:color w:val="202935"/>
          <w:spacing w:val="-1"/>
          <w:sz w:val="24"/>
          <w:szCs w:val="24"/>
        </w:rPr>
        <w:t>应能根据不同需要在现场和（或）监控中心发出声、光报警通告。</w:t>
      </w:r>
    </w:p>
    <w:p w14:paraId="48062BB9">
      <w:pPr>
        <w:pStyle w:val="2"/>
        <w:spacing w:before="1" w:line="246" w:lineRule="auto"/>
        <w:ind w:left="12" w:right="106" w:hanging="3"/>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 xml:space="preserve">3(14)   </w:t>
      </w:r>
      <w:r>
        <w:rPr>
          <w:rFonts w:ascii="宋体" w:hAnsi="宋体" w:eastAsia="宋体" w:cs="宋体"/>
          <w:strike/>
          <w:color w:val="202935"/>
          <w:spacing w:val="1"/>
          <w:sz w:val="24"/>
          <w:szCs w:val="24"/>
        </w:rPr>
        <w:t>入侵和紧急报警系统不得有漏报警，误</w:t>
      </w:r>
      <w:r>
        <w:rPr>
          <w:rFonts w:ascii="宋体" w:hAnsi="宋体" w:eastAsia="宋体" w:cs="宋体"/>
          <w:strike/>
          <w:color w:val="202935"/>
          <w:sz w:val="24"/>
          <w:szCs w:val="24"/>
        </w:rPr>
        <w:t>报警率应符合设计任务书和（或）</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工程合同书的要求。</w:t>
      </w:r>
    </w:p>
    <w:p w14:paraId="43864470">
      <w:pPr>
        <w:spacing w:line="246" w:lineRule="auto"/>
        <w:rPr>
          <w:rFonts w:ascii="宋体" w:hAnsi="宋体" w:eastAsia="宋体" w:cs="宋体"/>
          <w:sz w:val="24"/>
          <w:szCs w:val="24"/>
        </w:rPr>
        <w:sectPr>
          <w:footerReference r:id="rId69" w:type="default"/>
          <w:pgSz w:w="11907" w:h="16839"/>
          <w:pgMar w:top="400" w:right="1502" w:bottom="743" w:left="1417" w:header="0" w:footer="582" w:gutter="0"/>
          <w:cols w:space="720" w:num="1"/>
        </w:sectPr>
      </w:pPr>
    </w:p>
    <w:p w14:paraId="655B5374">
      <w:pPr>
        <w:pStyle w:val="2"/>
        <w:spacing w:line="252" w:lineRule="auto"/>
      </w:pPr>
    </w:p>
    <w:p w14:paraId="79E1D718">
      <w:pPr>
        <w:pStyle w:val="2"/>
        <w:spacing w:line="252" w:lineRule="auto"/>
      </w:pPr>
    </w:p>
    <w:p w14:paraId="1FAC4B39">
      <w:pPr>
        <w:pStyle w:val="2"/>
        <w:spacing w:line="252" w:lineRule="auto"/>
      </w:pPr>
    </w:p>
    <w:p w14:paraId="7DAA0FFF">
      <w:pPr>
        <w:pStyle w:val="2"/>
        <w:spacing w:before="78"/>
        <w:ind w:left="9" w:right="5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 xml:space="preserve">5(1)   </w:t>
      </w:r>
      <w:r>
        <w:rPr>
          <w:rFonts w:ascii="宋体" w:hAnsi="宋体" w:eastAsia="宋体" w:cs="宋体"/>
          <w:strike/>
          <w:color w:val="202935"/>
          <w:spacing w:val="1"/>
          <w:sz w:val="24"/>
          <w:szCs w:val="24"/>
        </w:rPr>
        <w:t>视频采集设备的监控范围应有效覆盖被保</w:t>
      </w:r>
      <w:r>
        <w:rPr>
          <w:rFonts w:ascii="宋体" w:hAnsi="宋体" w:eastAsia="宋体" w:cs="宋体"/>
          <w:strike/>
          <w:color w:val="202935"/>
          <w:sz w:val="24"/>
          <w:szCs w:val="24"/>
        </w:rPr>
        <w:t>护部位、区域或目标，监视效果应</w:t>
      </w:r>
      <w:r>
        <w:rPr>
          <w:rFonts w:ascii="宋体" w:hAnsi="宋体" w:eastAsia="宋体" w:cs="宋体"/>
          <w:color w:val="202935"/>
          <w:sz w:val="24"/>
          <w:szCs w:val="24"/>
        </w:rPr>
        <w:t xml:space="preserve"> </w:t>
      </w:r>
      <w:r>
        <w:rPr>
          <w:rFonts w:ascii="宋体" w:hAnsi="宋体" w:eastAsia="宋体" w:cs="宋体"/>
          <w:strike/>
          <w:color w:val="202935"/>
          <w:sz w:val="24"/>
          <w:szCs w:val="24"/>
        </w:rPr>
        <w:t>满足场景和目标特征识别的不同需求。视频采集设备的灵敏</w:t>
      </w:r>
      <w:r>
        <w:rPr>
          <w:rFonts w:ascii="宋体" w:hAnsi="宋体" w:eastAsia="宋体" w:cs="宋体"/>
          <w:strike/>
          <w:color w:val="202935"/>
          <w:spacing w:val="-1"/>
          <w:sz w:val="24"/>
          <w:szCs w:val="24"/>
        </w:rPr>
        <w:t>度和动态范围应满足现场</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图像采集的要求。</w:t>
      </w:r>
    </w:p>
    <w:p w14:paraId="21803D50">
      <w:pPr>
        <w:pStyle w:val="2"/>
        <w:ind w:left="10" w:right="52" w:hanging="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5(2)</w:t>
      </w:r>
      <w:r>
        <w:rPr>
          <w:strike/>
          <w:color w:val="202935"/>
          <w:spacing w:val="23"/>
          <w:sz w:val="24"/>
          <w:szCs w:val="24"/>
        </w:rPr>
        <w:t xml:space="preserve">   </w:t>
      </w:r>
      <w:r>
        <w:rPr>
          <w:rFonts w:ascii="宋体" w:hAnsi="宋体" w:eastAsia="宋体" w:cs="宋体"/>
          <w:strike/>
          <w:color w:val="202935"/>
          <w:spacing w:val="-1"/>
          <w:sz w:val="24"/>
          <w:szCs w:val="24"/>
        </w:rPr>
        <w:t>系统的传输装置应从传输信道的衰耗、带宽、信噪比，误码码率、时延、时</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延抖动等方面，确保视频图像信息和其他相关信息在前端</w:t>
      </w:r>
      <w:r>
        <w:rPr>
          <w:rFonts w:ascii="宋体" w:hAnsi="宋体" w:eastAsia="宋体" w:cs="宋体"/>
          <w:strike/>
          <w:color w:val="202935"/>
          <w:spacing w:val="-1"/>
          <w:sz w:val="24"/>
          <w:szCs w:val="24"/>
        </w:rPr>
        <w:t>采集设备到显示设备、存储</w:t>
      </w:r>
      <w:r>
        <w:rPr>
          <w:rFonts w:ascii="宋体" w:hAnsi="宋体" w:eastAsia="宋体" w:cs="宋体"/>
          <w:color w:val="202935"/>
          <w:sz w:val="24"/>
          <w:szCs w:val="24"/>
        </w:rPr>
        <w:t xml:space="preserve">  </w:t>
      </w:r>
      <w:r>
        <w:rPr>
          <w:rFonts w:ascii="宋体" w:hAnsi="宋体" w:eastAsia="宋体" w:cs="宋体"/>
          <w:strike/>
          <w:color w:val="202935"/>
          <w:sz w:val="24"/>
          <w:szCs w:val="24"/>
        </w:rPr>
        <w:t>设备等各设备之间的安全有效及时传递。视频传输应支持</w:t>
      </w:r>
      <w:r>
        <w:rPr>
          <w:rFonts w:ascii="宋体" w:hAnsi="宋体" w:eastAsia="宋体" w:cs="宋体"/>
          <w:strike/>
          <w:color w:val="202935"/>
          <w:spacing w:val="-1"/>
          <w:sz w:val="24"/>
          <w:szCs w:val="24"/>
        </w:rPr>
        <w:t>对同</w:t>
      </w:r>
      <w:r>
        <w:rPr>
          <w:rFonts w:ascii="宋体" w:hAnsi="宋体" w:eastAsia="宋体" w:cs="宋体"/>
          <w:color w:val="202935"/>
          <w:spacing w:val="-1"/>
          <w:sz w:val="24"/>
          <w:szCs w:val="24"/>
        </w:rPr>
        <w:t>一</w:t>
      </w:r>
      <w:r>
        <w:rPr>
          <w:rFonts w:ascii="宋体" w:hAnsi="宋体" w:eastAsia="宋体" w:cs="宋体"/>
          <w:strike/>
          <w:color w:val="202935"/>
          <w:spacing w:val="-1"/>
          <w:sz w:val="24"/>
          <w:szCs w:val="24"/>
        </w:rPr>
        <w:t>视频资源的信号分配</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或数据分发的能力。</w:t>
      </w:r>
    </w:p>
    <w:p w14:paraId="49F40F7A">
      <w:pPr>
        <w:pStyle w:val="2"/>
        <w:spacing w:line="319" w:lineRule="exact"/>
        <w:ind w:left="9"/>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4</w:t>
      </w:r>
      <w:r>
        <w:rPr>
          <w:color w:val="202935"/>
          <w:spacing w:val="-1"/>
          <w:position w:val="2"/>
          <w:sz w:val="24"/>
          <w:szCs w:val="24"/>
        </w:rPr>
        <w:t>.</w:t>
      </w:r>
      <w:r>
        <w:rPr>
          <w:strike/>
          <w:color w:val="202935"/>
          <w:spacing w:val="-1"/>
          <w:position w:val="2"/>
          <w:sz w:val="24"/>
          <w:szCs w:val="24"/>
        </w:rPr>
        <w:t>5(3)</w:t>
      </w:r>
      <w:r>
        <w:rPr>
          <w:strike/>
          <w:color w:val="202935"/>
          <w:spacing w:val="22"/>
          <w:position w:val="2"/>
          <w:sz w:val="24"/>
          <w:szCs w:val="24"/>
        </w:rPr>
        <w:t xml:space="preserve">   </w:t>
      </w:r>
      <w:r>
        <w:rPr>
          <w:rFonts w:ascii="宋体" w:hAnsi="宋体" w:eastAsia="宋体" w:cs="宋体"/>
          <w:strike/>
          <w:color w:val="202935"/>
          <w:spacing w:val="-1"/>
          <w:position w:val="2"/>
          <w:sz w:val="24"/>
          <w:szCs w:val="24"/>
        </w:rPr>
        <w:t>系统应具备按照授权时切换调度指定视频信号到指定终端的能力。</w:t>
      </w:r>
    </w:p>
    <w:p w14:paraId="5E1BBA1F">
      <w:pPr>
        <w:pStyle w:val="2"/>
        <w:tabs>
          <w:tab w:val="left" w:pos="135"/>
        </w:tabs>
        <w:spacing w:before="2" w:line="236" w:lineRule="auto"/>
        <w:ind w:right="679" w:firstLine="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5(4)</w:t>
      </w:r>
      <w:r>
        <w:rPr>
          <w:strike/>
          <w:color w:val="202935"/>
          <w:spacing w:val="17"/>
          <w:w w:val="101"/>
          <w:sz w:val="24"/>
          <w:szCs w:val="24"/>
        </w:rPr>
        <w:t xml:space="preserve">   </w:t>
      </w:r>
      <w:r>
        <w:rPr>
          <w:rFonts w:ascii="宋体" w:hAnsi="宋体" w:eastAsia="宋体" w:cs="宋体"/>
          <w:strike/>
          <w:color w:val="202935"/>
          <w:spacing w:val="-1"/>
          <w:sz w:val="24"/>
          <w:szCs w:val="24"/>
        </w:rPr>
        <w:t>系统应具备按照授权对选定的前端视频采集设备进行</w:t>
      </w:r>
      <w:r>
        <w:rPr>
          <w:rFonts w:ascii="宋体" w:hAnsi="宋体" w:eastAsia="宋体" w:cs="宋体"/>
          <w:strike/>
          <w:color w:val="202935"/>
          <w:spacing w:val="-41"/>
          <w:sz w:val="24"/>
          <w:szCs w:val="24"/>
        </w:rPr>
        <w:t xml:space="preserve"> </w:t>
      </w:r>
      <w:r>
        <w:rPr>
          <w:strike/>
          <w:color w:val="202935"/>
          <w:spacing w:val="-2"/>
          <w:sz w:val="24"/>
          <w:szCs w:val="24"/>
        </w:rPr>
        <w:t xml:space="preserve">PTZ </w:t>
      </w:r>
      <w:r>
        <w:rPr>
          <w:rFonts w:ascii="宋体" w:hAnsi="宋体" w:eastAsia="宋体" w:cs="宋体"/>
          <w:strike/>
          <w:color w:val="202935"/>
          <w:spacing w:val="-2"/>
          <w:sz w:val="24"/>
          <w:szCs w:val="24"/>
        </w:rPr>
        <w:t>实时控制和</w:t>
      </w:r>
      <w:r>
        <w:rPr>
          <w:rFonts w:ascii="宋体" w:hAnsi="宋体" w:eastAsia="宋体" w:cs="宋体"/>
          <w:color w:val="202935"/>
          <w:sz w:val="24"/>
          <w:szCs w:val="24"/>
        </w:rPr>
        <w:t xml:space="preserve"> </w:t>
      </w:r>
      <w:r>
        <w:rPr>
          <w:rFonts w:ascii="宋体" w:hAnsi="宋体" w:eastAsia="宋体" w:cs="宋体"/>
          <w:strike/>
          <w:color w:val="202935"/>
          <w:sz w:val="24"/>
          <w:szCs w:val="24"/>
        </w:rPr>
        <w:tab/>
      </w:r>
      <w:r>
        <w:rPr>
          <w:rFonts w:ascii="宋体" w:hAnsi="宋体" w:eastAsia="宋体" w:cs="宋体"/>
          <w:strike/>
          <w:color w:val="202935"/>
          <w:spacing w:val="-10"/>
          <w:sz w:val="24"/>
          <w:szCs w:val="24"/>
        </w:rPr>
        <w:t>（或）工作参数调整的能力。</w:t>
      </w:r>
    </w:p>
    <w:p w14:paraId="7447FC33">
      <w:pPr>
        <w:pStyle w:val="2"/>
        <w:ind w:left="11" w:right="52" w:hanging="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5(5)</w:t>
      </w:r>
      <w:r>
        <w:rPr>
          <w:strike/>
          <w:color w:val="202935"/>
          <w:spacing w:val="23"/>
          <w:sz w:val="24"/>
          <w:szCs w:val="24"/>
        </w:rPr>
        <w:t xml:space="preserve">   </w:t>
      </w:r>
      <w:r>
        <w:rPr>
          <w:rFonts w:ascii="宋体" w:hAnsi="宋体" w:eastAsia="宋体" w:cs="宋体"/>
          <w:strike/>
          <w:color w:val="202935"/>
          <w:spacing w:val="-1"/>
          <w:sz w:val="24"/>
          <w:szCs w:val="24"/>
        </w:rPr>
        <w:t>系统应能实时显示系统内的所有视频图像，系统图像质量应满足安全管理要</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求。声音的展示应满足辨识需要。显示的图像和展示</w:t>
      </w:r>
      <w:r>
        <w:rPr>
          <w:rFonts w:ascii="宋体" w:hAnsi="宋体" w:eastAsia="宋体" w:cs="宋体"/>
          <w:strike/>
          <w:color w:val="202935"/>
          <w:spacing w:val="-1"/>
          <w:sz w:val="24"/>
          <w:szCs w:val="24"/>
        </w:rPr>
        <w:t>的声音应具有原始完整性。</w:t>
      </w:r>
    </w:p>
    <w:p w14:paraId="6AA38D97">
      <w:pPr>
        <w:pStyle w:val="2"/>
        <w:spacing w:before="2" w:line="242" w:lineRule="auto"/>
        <w:ind w:left="8" w:right="90"/>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5(7)</w:t>
      </w:r>
      <w:r>
        <w:rPr>
          <w:strike/>
          <w:color w:val="202935"/>
          <w:spacing w:val="21"/>
          <w:sz w:val="24"/>
          <w:szCs w:val="24"/>
        </w:rPr>
        <w:t xml:space="preserve">   </w:t>
      </w:r>
      <w:r>
        <w:rPr>
          <w:rFonts w:ascii="宋体" w:hAnsi="宋体" w:eastAsia="宋体" w:cs="宋体"/>
          <w:strike/>
          <w:color w:val="202935"/>
          <w:spacing w:val="-1"/>
          <w:sz w:val="24"/>
          <w:szCs w:val="24"/>
        </w:rPr>
        <w:t>防范恐怖袭击重点目标的视频</w:t>
      </w:r>
      <w:r>
        <w:rPr>
          <w:rFonts w:ascii="宋体" w:hAnsi="宋体" w:eastAsia="宋体" w:cs="宋体"/>
          <w:strike/>
          <w:color w:val="202935"/>
          <w:spacing w:val="-2"/>
          <w:sz w:val="24"/>
          <w:szCs w:val="24"/>
        </w:rPr>
        <w:t>图像信息保存期限不应少于</w:t>
      </w:r>
      <w:r>
        <w:rPr>
          <w:rFonts w:ascii="宋体" w:hAnsi="宋体" w:eastAsia="宋体" w:cs="宋体"/>
          <w:strike/>
          <w:color w:val="202935"/>
          <w:spacing w:val="-49"/>
          <w:sz w:val="24"/>
          <w:szCs w:val="24"/>
        </w:rPr>
        <w:t xml:space="preserve"> </w:t>
      </w:r>
      <w:r>
        <w:rPr>
          <w:strike/>
          <w:color w:val="202935"/>
          <w:spacing w:val="-2"/>
          <w:sz w:val="24"/>
          <w:szCs w:val="24"/>
        </w:rPr>
        <w:t>90d</w:t>
      </w:r>
      <w:r>
        <w:rPr>
          <w:rFonts w:ascii="宋体" w:hAnsi="宋体" w:eastAsia="宋体" w:cs="宋体"/>
          <w:strike/>
          <w:color w:val="202935"/>
          <w:spacing w:val="-2"/>
          <w:sz w:val="24"/>
          <w:szCs w:val="24"/>
        </w:rPr>
        <w:t>，其他目标的</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视频图像信息保存期限不应少于</w:t>
      </w:r>
      <w:r>
        <w:rPr>
          <w:rFonts w:ascii="宋体" w:hAnsi="宋体" w:eastAsia="宋体" w:cs="宋体"/>
          <w:strike/>
          <w:color w:val="202935"/>
          <w:spacing w:val="-34"/>
          <w:sz w:val="24"/>
          <w:szCs w:val="24"/>
        </w:rPr>
        <w:t xml:space="preserve"> </w:t>
      </w:r>
      <w:r>
        <w:rPr>
          <w:strike/>
          <w:color w:val="202935"/>
          <w:spacing w:val="-2"/>
          <w:sz w:val="24"/>
          <w:szCs w:val="24"/>
        </w:rPr>
        <w:t>30d</w:t>
      </w:r>
      <w:r>
        <w:rPr>
          <w:strike/>
          <w:color w:val="202935"/>
          <w:spacing w:val="-35"/>
          <w:sz w:val="24"/>
          <w:szCs w:val="24"/>
        </w:rPr>
        <w:t xml:space="preserve"> </w:t>
      </w:r>
      <w:r>
        <w:rPr>
          <w:rFonts w:ascii="宋体" w:hAnsi="宋体" w:eastAsia="宋体" w:cs="宋体"/>
          <w:strike/>
          <w:color w:val="202935"/>
          <w:spacing w:val="-2"/>
          <w:sz w:val="24"/>
          <w:szCs w:val="24"/>
        </w:rPr>
        <w:t>。</w:t>
      </w:r>
    </w:p>
    <w:p w14:paraId="3DF9D0E4">
      <w:pPr>
        <w:pStyle w:val="2"/>
        <w:spacing w:before="1" w:line="244" w:lineRule="auto"/>
        <w:ind w:left="13" w:right="159" w:hanging="4"/>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5(10)</w:t>
      </w:r>
      <w:r>
        <w:rPr>
          <w:strike/>
          <w:color w:val="202935"/>
          <w:spacing w:val="23"/>
          <w:sz w:val="24"/>
          <w:szCs w:val="24"/>
        </w:rPr>
        <w:t xml:space="preserve">   </w:t>
      </w:r>
      <w:r>
        <w:rPr>
          <w:rFonts w:ascii="宋体" w:hAnsi="宋体" w:eastAsia="宋体" w:cs="宋体"/>
          <w:strike/>
          <w:color w:val="202935"/>
          <w:spacing w:val="-1"/>
          <w:sz w:val="24"/>
          <w:szCs w:val="24"/>
        </w:rPr>
        <w:t>系统应具有用户权限管理、操作与运行日志管理、设备管理和自我诊断等</w:t>
      </w:r>
      <w:r>
        <w:rPr>
          <w:rFonts w:ascii="宋体" w:hAnsi="宋体" w:eastAsia="宋体" w:cs="宋体"/>
          <w:color w:val="202935"/>
          <w:spacing w:val="1"/>
          <w:sz w:val="24"/>
          <w:szCs w:val="24"/>
        </w:rPr>
        <w:t xml:space="preserve"> </w:t>
      </w:r>
      <w:r>
        <w:rPr>
          <w:rFonts w:ascii="宋体" w:hAnsi="宋体" w:eastAsia="宋体" w:cs="宋体"/>
          <w:strike/>
          <w:color w:val="202935"/>
          <w:spacing w:val="-3"/>
          <w:sz w:val="24"/>
          <w:szCs w:val="24"/>
        </w:rPr>
        <w:t>功能。</w:t>
      </w:r>
    </w:p>
    <w:p w14:paraId="6AA1086D">
      <w:pPr>
        <w:pStyle w:val="2"/>
        <w:spacing w:line="261" w:lineRule="auto"/>
      </w:pPr>
    </w:p>
    <w:p w14:paraId="0FCD77A2">
      <w:pPr>
        <w:pStyle w:val="2"/>
        <w:spacing w:before="79"/>
        <w:ind w:left="9" w:right="5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 xml:space="preserve">7(8)    </w:t>
      </w:r>
      <w:r>
        <w:rPr>
          <w:rFonts w:ascii="宋体" w:hAnsi="宋体" w:eastAsia="宋体" w:cs="宋体"/>
          <w:strike/>
          <w:color w:val="202935"/>
          <w:spacing w:val="-1"/>
          <w:sz w:val="24"/>
          <w:szCs w:val="24"/>
        </w:rPr>
        <w:t>出入口控制系统应根据安全等级的要求，采用相应自我保护措施和配置。位</w:t>
      </w:r>
      <w:r>
        <w:rPr>
          <w:rFonts w:ascii="宋体" w:hAnsi="宋体" w:eastAsia="宋体" w:cs="宋体"/>
          <w:color w:val="202935"/>
          <w:spacing w:val="7"/>
          <w:sz w:val="24"/>
          <w:szCs w:val="24"/>
        </w:rPr>
        <w:t xml:space="preserve"> </w:t>
      </w:r>
      <w:r>
        <w:rPr>
          <w:rFonts w:ascii="宋体" w:hAnsi="宋体" w:eastAsia="宋体" w:cs="宋体"/>
          <w:strike/>
          <w:color w:val="202935"/>
          <w:sz w:val="24"/>
          <w:szCs w:val="24"/>
        </w:rPr>
        <w:t>于对应受控区、同权限受控区或高权限受控区域以外的部件</w:t>
      </w:r>
      <w:r>
        <w:rPr>
          <w:rFonts w:ascii="宋体" w:hAnsi="宋体" w:eastAsia="宋体" w:cs="宋体"/>
          <w:strike/>
          <w:color w:val="202935"/>
          <w:spacing w:val="-1"/>
          <w:sz w:val="24"/>
          <w:szCs w:val="24"/>
        </w:rPr>
        <w:t>应具有防篡改／防撬／防</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拆保护措施。</w:t>
      </w:r>
    </w:p>
    <w:p w14:paraId="37208472">
      <w:pPr>
        <w:pStyle w:val="2"/>
        <w:spacing w:before="5" w:line="239" w:lineRule="auto"/>
        <w:ind w:left="11" w:right="159" w:hanging="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7(11)</w:t>
      </w:r>
      <w:r>
        <w:rPr>
          <w:strike/>
          <w:color w:val="202935"/>
          <w:spacing w:val="23"/>
          <w:sz w:val="24"/>
          <w:szCs w:val="24"/>
        </w:rPr>
        <w:t xml:space="preserve">   </w:t>
      </w:r>
      <w:r>
        <w:rPr>
          <w:rFonts w:ascii="宋体" w:hAnsi="宋体" w:eastAsia="宋体" w:cs="宋体"/>
          <w:strike/>
          <w:color w:val="202935"/>
          <w:spacing w:val="-1"/>
          <w:sz w:val="24"/>
          <w:szCs w:val="24"/>
        </w:rPr>
        <w:t>系统不应禁止由其他紧急系统（如火灾等）授权自由出入的功能。系统必</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须满足紧急逃生时人员疏散的相关要求。当通向疏散通</w:t>
      </w:r>
      <w:r>
        <w:rPr>
          <w:rFonts w:ascii="宋体" w:hAnsi="宋体" w:eastAsia="宋体" w:cs="宋体"/>
          <w:strike/>
          <w:color w:val="202935"/>
          <w:spacing w:val="-1"/>
          <w:sz w:val="24"/>
          <w:szCs w:val="24"/>
        </w:rPr>
        <w:t>道方向为防护面时，系统必须</w:t>
      </w:r>
      <w:r>
        <w:rPr>
          <w:rFonts w:ascii="宋体" w:hAnsi="宋体" w:eastAsia="宋体" w:cs="宋体"/>
          <w:color w:val="202935"/>
          <w:sz w:val="24"/>
          <w:szCs w:val="24"/>
        </w:rPr>
        <w:t xml:space="preserve"> </w:t>
      </w:r>
      <w:r>
        <w:rPr>
          <w:rFonts w:ascii="宋体" w:hAnsi="宋体" w:eastAsia="宋体" w:cs="宋体"/>
          <w:strike/>
          <w:color w:val="202935"/>
          <w:sz w:val="24"/>
          <w:szCs w:val="24"/>
        </w:rPr>
        <w:t>与火灾报警系统及其他紧急疏散系统联动，当发生火警</w:t>
      </w:r>
      <w:r>
        <w:rPr>
          <w:rFonts w:ascii="宋体" w:hAnsi="宋体" w:eastAsia="宋体" w:cs="宋体"/>
          <w:strike/>
          <w:color w:val="202935"/>
          <w:spacing w:val="-1"/>
          <w:sz w:val="24"/>
          <w:szCs w:val="24"/>
        </w:rPr>
        <w:t>或需紧急疏散时，人员应能不</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用进行凭证识读操作即可安全通过。</w:t>
      </w:r>
    </w:p>
    <w:p w14:paraId="26F05326">
      <w:pPr>
        <w:pStyle w:val="2"/>
        <w:spacing w:before="1" w:line="246" w:lineRule="auto"/>
        <w:ind w:left="45" w:hanging="36"/>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7(13)</w:t>
      </w:r>
      <w:r>
        <w:rPr>
          <w:strike/>
          <w:color w:val="202935"/>
          <w:spacing w:val="21"/>
          <w:sz w:val="24"/>
          <w:szCs w:val="24"/>
        </w:rPr>
        <w:t xml:space="preserve">   </w:t>
      </w:r>
      <w:r>
        <w:rPr>
          <w:rFonts w:ascii="宋体" w:hAnsi="宋体" w:eastAsia="宋体" w:cs="宋体"/>
          <w:strike/>
          <w:color w:val="202935"/>
          <w:spacing w:val="-1"/>
          <w:sz w:val="24"/>
          <w:szCs w:val="24"/>
        </w:rPr>
        <w:t>当系统与其他业务系统共用</w:t>
      </w:r>
      <w:r>
        <w:rPr>
          <w:rFonts w:ascii="宋体" w:hAnsi="宋体" w:eastAsia="宋体" w:cs="宋体"/>
          <w:strike/>
          <w:color w:val="202935"/>
          <w:spacing w:val="-2"/>
          <w:sz w:val="24"/>
          <w:szCs w:val="24"/>
        </w:rPr>
        <w:t>凭证或其介质构成</w:t>
      </w:r>
      <w:r>
        <w:rPr>
          <w:color w:val="202935"/>
          <w:spacing w:val="-2"/>
          <w:sz w:val="24"/>
          <w:szCs w:val="24"/>
        </w:rPr>
        <w:t>“</w:t>
      </w:r>
      <w:r>
        <w:rPr>
          <w:rFonts w:ascii="宋体" w:hAnsi="宋体" w:eastAsia="宋体" w:cs="宋体"/>
          <w:color w:val="202935"/>
          <w:spacing w:val="-2"/>
          <w:sz w:val="24"/>
          <w:szCs w:val="24"/>
        </w:rPr>
        <w:t>一</w:t>
      </w:r>
      <w:r>
        <w:rPr>
          <w:rFonts w:ascii="宋体" w:hAnsi="宋体" w:eastAsia="宋体" w:cs="宋体"/>
          <w:strike/>
          <w:color w:val="202935"/>
          <w:spacing w:val="-2"/>
          <w:sz w:val="24"/>
          <w:szCs w:val="24"/>
        </w:rPr>
        <w:t>卡通</w:t>
      </w:r>
      <w:r>
        <w:rPr>
          <w:color w:val="202935"/>
          <w:spacing w:val="-2"/>
          <w:sz w:val="24"/>
          <w:szCs w:val="24"/>
        </w:rPr>
        <w:t>”</w:t>
      </w:r>
      <w:r>
        <w:rPr>
          <w:rFonts w:ascii="宋体" w:hAnsi="宋体" w:eastAsia="宋体" w:cs="宋体"/>
          <w:strike/>
          <w:color w:val="202935"/>
          <w:spacing w:val="-89"/>
          <w:sz w:val="24"/>
          <w:szCs w:val="24"/>
        </w:rPr>
        <w:t xml:space="preserve"> </w:t>
      </w:r>
      <w:r>
        <w:rPr>
          <w:rFonts w:ascii="宋体" w:hAnsi="宋体" w:eastAsia="宋体" w:cs="宋体"/>
          <w:strike/>
          <w:color w:val="202935"/>
          <w:spacing w:val="-2"/>
          <w:sz w:val="24"/>
          <w:szCs w:val="24"/>
        </w:rPr>
        <w:t>的应用模式时，出入</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口控制系统应独立设置与管理。</w:t>
      </w:r>
    </w:p>
    <w:p w14:paraId="103026B5">
      <w:pPr>
        <w:pStyle w:val="2"/>
        <w:spacing w:line="262" w:lineRule="auto"/>
      </w:pPr>
    </w:p>
    <w:p w14:paraId="7B08DA24">
      <w:pPr>
        <w:pStyle w:val="2"/>
        <w:spacing w:before="79" w:line="244" w:lineRule="auto"/>
        <w:ind w:left="9" w:right="5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9(5)</w:t>
      </w:r>
      <w:r>
        <w:rPr>
          <w:strike/>
          <w:color w:val="202935"/>
          <w:spacing w:val="23"/>
          <w:sz w:val="24"/>
          <w:szCs w:val="24"/>
        </w:rPr>
        <w:t xml:space="preserve">   </w:t>
      </w:r>
      <w:r>
        <w:rPr>
          <w:rFonts w:ascii="宋体" w:hAnsi="宋体" w:eastAsia="宋体" w:cs="宋体"/>
          <w:strike/>
          <w:color w:val="202935"/>
          <w:spacing w:val="-1"/>
          <w:sz w:val="24"/>
          <w:szCs w:val="24"/>
        </w:rPr>
        <w:t>系统应能对车辆的识读过程提供现场指示；当停车库（场）出入口装置处于</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被非授权开启、故障等状态时，系统应能根据不同需要向现</w:t>
      </w:r>
      <w:r>
        <w:rPr>
          <w:rFonts w:ascii="宋体" w:hAnsi="宋体" w:eastAsia="宋体" w:cs="宋体"/>
          <w:strike/>
          <w:color w:val="202935"/>
          <w:spacing w:val="-1"/>
          <w:sz w:val="24"/>
          <w:szCs w:val="24"/>
        </w:rPr>
        <w:t>场、监控中心发出可视频</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和（或）可听的通告或警示；</w:t>
      </w:r>
    </w:p>
    <w:p w14:paraId="41AF33F7">
      <w:pPr>
        <w:pStyle w:val="2"/>
        <w:spacing w:line="265" w:lineRule="auto"/>
      </w:pPr>
    </w:p>
    <w:p w14:paraId="09C1C479">
      <w:pPr>
        <w:pStyle w:val="2"/>
        <w:spacing w:before="78"/>
        <w:ind w:left="8" w:right="15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10(1)</w:t>
      </w:r>
      <w:r>
        <w:rPr>
          <w:strike/>
          <w:color w:val="202935"/>
          <w:spacing w:val="23"/>
          <w:sz w:val="24"/>
          <w:szCs w:val="24"/>
        </w:rPr>
        <w:t xml:space="preserve">   </w:t>
      </w:r>
      <w:r>
        <w:rPr>
          <w:rFonts w:ascii="宋体" w:hAnsi="宋体" w:eastAsia="宋体" w:cs="宋体"/>
          <w:strike/>
          <w:color w:val="202935"/>
          <w:spacing w:val="-1"/>
          <w:sz w:val="24"/>
          <w:szCs w:val="24"/>
        </w:rPr>
        <w:t>系统应能对进入保护单位或区域的人员和（或）物品和（或）车辆进行安</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全检查，对规定的爆炸物、武器和（或）其他违禁品进行实时</w:t>
      </w:r>
      <w:r>
        <w:rPr>
          <w:rFonts w:ascii="宋体" w:hAnsi="宋体" w:eastAsia="宋体" w:cs="宋体"/>
          <w:strike/>
          <w:color w:val="202935"/>
          <w:spacing w:val="-1"/>
          <w:sz w:val="24"/>
          <w:szCs w:val="24"/>
        </w:rPr>
        <w:t>、有效的探测、显示、</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记录和报警。</w:t>
      </w:r>
    </w:p>
    <w:p w14:paraId="69BE2172">
      <w:pPr>
        <w:pStyle w:val="2"/>
        <w:ind w:left="12" w:right="159" w:hanging="3"/>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10(3)</w:t>
      </w:r>
      <w:r>
        <w:rPr>
          <w:strike/>
          <w:color w:val="202935"/>
          <w:spacing w:val="23"/>
          <w:sz w:val="24"/>
          <w:szCs w:val="24"/>
        </w:rPr>
        <w:t xml:space="preserve">   </w:t>
      </w:r>
      <w:r>
        <w:rPr>
          <w:rFonts w:ascii="宋体" w:hAnsi="宋体" w:eastAsia="宋体" w:cs="宋体"/>
          <w:strike/>
          <w:color w:val="202935"/>
          <w:spacing w:val="-1"/>
          <w:sz w:val="24"/>
          <w:szCs w:val="24"/>
        </w:rPr>
        <w:t>系统探测时产生的辐射剂量不应对被检人员和物品产生伤害，不应引起爆</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炸物起爆。系统探测时泄漏的辐射剂量不应对</w:t>
      </w:r>
      <w:r>
        <w:rPr>
          <w:rFonts w:ascii="宋体" w:hAnsi="宋体" w:eastAsia="宋体" w:cs="宋体"/>
          <w:strike/>
          <w:color w:val="202935"/>
          <w:spacing w:val="-1"/>
          <w:sz w:val="24"/>
          <w:szCs w:val="24"/>
        </w:rPr>
        <w:t>非被检人员和环境造成伤害。</w:t>
      </w:r>
    </w:p>
    <w:p w14:paraId="07083CF2">
      <w:pPr>
        <w:pStyle w:val="2"/>
        <w:spacing w:line="320" w:lineRule="exact"/>
        <w:ind w:left="9"/>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4</w:t>
      </w:r>
      <w:r>
        <w:rPr>
          <w:color w:val="202935"/>
          <w:spacing w:val="1"/>
          <w:position w:val="2"/>
          <w:sz w:val="24"/>
          <w:szCs w:val="24"/>
        </w:rPr>
        <w:t>.</w:t>
      </w:r>
      <w:r>
        <w:rPr>
          <w:strike/>
          <w:color w:val="202935"/>
          <w:spacing w:val="1"/>
          <w:position w:val="2"/>
          <w:sz w:val="24"/>
          <w:szCs w:val="24"/>
        </w:rPr>
        <w:t xml:space="preserve">10(4)   </w:t>
      </w:r>
      <w:r>
        <w:rPr>
          <w:rFonts w:ascii="宋体" w:hAnsi="宋体" w:eastAsia="宋体" w:cs="宋体"/>
          <w:strike/>
          <w:color w:val="202935"/>
          <w:spacing w:val="1"/>
          <w:position w:val="2"/>
          <w:sz w:val="24"/>
          <w:szCs w:val="24"/>
        </w:rPr>
        <w:t>成像式人体安全检查设备的显示图像应</w:t>
      </w:r>
      <w:r>
        <w:rPr>
          <w:rFonts w:ascii="宋体" w:hAnsi="宋体" w:eastAsia="宋体" w:cs="宋体"/>
          <w:strike/>
          <w:color w:val="202935"/>
          <w:position w:val="2"/>
          <w:sz w:val="24"/>
          <w:szCs w:val="24"/>
        </w:rPr>
        <w:t>具有人体隐私保护功能。</w:t>
      </w:r>
    </w:p>
    <w:p w14:paraId="5ECB767F">
      <w:pPr>
        <w:pStyle w:val="2"/>
        <w:spacing w:line="320" w:lineRule="exact"/>
        <w:ind w:left="9"/>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4</w:t>
      </w:r>
      <w:r>
        <w:rPr>
          <w:color w:val="202935"/>
          <w:spacing w:val="1"/>
          <w:position w:val="2"/>
          <w:sz w:val="24"/>
          <w:szCs w:val="24"/>
        </w:rPr>
        <w:t>.</w:t>
      </w:r>
      <w:r>
        <w:rPr>
          <w:strike/>
          <w:color w:val="202935"/>
          <w:spacing w:val="1"/>
          <w:position w:val="2"/>
          <w:sz w:val="24"/>
          <w:szCs w:val="24"/>
        </w:rPr>
        <w:t xml:space="preserve">10(9)   </w:t>
      </w:r>
      <w:r>
        <w:rPr>
          <w:rFonts w:ascii="宋体" w:hAnsi="宋体" w:eastAsia="宋体" w:cs="宋体"/>
          <w:strike/>
          <w:color w:val="202935"/>
          <w:spacing w:val="1"/>
          <w:position w:val="2"/>
          <w:sz w:val="24"/>
          <w:szCs w:val="24"/>
        </w:rPr>
        <w:t>应配备防爆处置、防护设施。防护设施</w:t>
      </w:r>
      <w:r>
        <w:rPr>
          <w:rFonts w:ascii="宋体" w:hAnsi="宋体" w:eastAsia="宋体" w:cs="宋体"/>
          <w:strike/>
          <w:color w:val="202935"/>
          <w:position w:val="2"/>
          <w:sz w:val="24"/>
          <w:szCs w:val="24"/>
        </w:rPr>
        <w:t>应安全受控，便于取用。</w:t>
      </w:r>
    </w:p>
    <w:p w14:paraId="316A8F24">
      <w:pPr>
        <w:pStyle w:val="2"/>
        <w:spacing w:line="264" w:lineRule="auto"/>
      </w:pPr>
    </w:p>
    <w:p w14:paraId="3DDA9A81">
      <w:pPr>
        <w:pStyle w:val="2"/>
        <w:spacing w:before="79"/>
        <w:ind w:left="10" w:right="159" w:hanging="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12(5)</w:t>
      </w:r>
      <w:r>
        <w:rPr>
          <w:strike/>
          <w:color w:val="202935"/>
          <w:spacing w:val="23"/>
          <w:sz w:val="24"/>
          <w:szCs w:val="24"/>
        </w:rPr>
        <w:t xml:space="preserve">   </w:t>
      </w:r>
      <w:r>
        <w:rPr>
          <w:rFonts w:ascii="宋体" w:hAnsi="宋体" w:eastAsia="宋体" w:cs="宋体"/>
          <w:strike/>
          <w:color w:val="202935"/>
          <w:spacing w:val="-1"/>
          <w:sz w:val="24"/>
          <w:szCs w:val="24"/>
        </w:rPr>
        <w:t>当系统受控门开启时间超过预设时长、访客呼叫机防拆开关被触发时，应</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有现场告警提示信息；具有高安全需求的系统还应向</w:t>
      </w:r>
      <w:r>
        <w:rPr>
          <w:rFonts w:ascii="宋体" w:hAnsi="宋体" w:eastAsia="宋体" w:cs="宋体"/>
          <w:strike/>
          <w:color w:val="202935"/>
          <w:spacing w:val="-1"/>
          <w:sz w:val="24"/>
          <w:szCs w:val="24"/>
        </w:rPr>
        <w:t>管理中心发送告警信息；</w:t>
      </w:r>
    </w:p>
    <w:p w14:paraId="779E0AE6">
      <w:pPr>
        <w:pStyle w:val="2"/>
        <w:spacing w:before="1" w:line="246" w:lineRule="auto"/>
        <w:ind w:left="36" w:right="159" w:hanging="27"/>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4</w:t>
      </w:r>
      <w:r>
        <w:rPr>
          <w:color w:val="202935"/>
          <w:spacing w:val="-1"/>
          <w:sz w:val="24"/>
          <w:szCs w:val="24"/>
        </w:rPr>
        <w:t>.</w:t>
      </w:r>
      <w:r>
        <w:rPr>
          <w:strike/>
          <w:color w:val="202935"/>
          <w:spacing w:val="-1"/>
          <w:sz w:val="24"/>
          <w:szCs w:val="24"/>
        </w:rPr>
        <w:t>12(9)</w:t>
      </w:r>
      <w:r>
        <w:rPr>
          <w:strike/>
          <w:color w:val="202935"/>
          <w:spacing w:val="23"/>
          <w:sz w:val="24"/>
          <w:szCs w:val="24"/>
        </w:rPr>
        <w:t xml:space="preserve">   </w:t>
      </w:r>
      <w:r>
        <w:rPr>
          <w:rFonts w:ascii="宋体" w:hAnsi="宋体" w:eastAsia="宋体" w:cs="宋体"/>
          <w:strike/>
          <w:color w:val="202935"/>
          <w:spacing w:val="-1"/>
          <w:sz w:val="24"/>
          <w:szCs w:val="24"/>
        </w:rPr>
        <w:t>除已采取了可靠的安全管控措施外，不应利用无线扩展终端控制开启入户</w:t>
      </w:r>
      <w:r>
        <w:rPr>
          <w:rFonts w:ascii="宋体" w:hAnsi="宋体" w:eastAsia="宋体" w:cs="宋体"/>
          <w:color w:val="202935"/>
          <w:spacing w:val="1"/>
          <w:sz w:val="24"/>
          <w:szCs w:val="24"/>
        </w:rPr>
        <w:t xml:space="preserve"> </w:t>
      </w:r>
      <w:r>
        <w:rPr>
          <w:rFonts w:ascii="宋体" w:hAnsi="宋体" w:eastAsia="宋体" w:cs="宋体"/>
          <w:strike/>
          <w:color w:val="202935"/>
          <w:spacing w:val="-3"/>
          <w:sz w:val="24"/>
          <w:szCs w:val="24"/>
        </w:rPr>
        <w:t>门锁以及进行报警控制管理。</w:t>
      </w:r>
    </w:p>
    <w:p w14:paraId="056B5A76">
      <w:pPr>
        <w:spacing w:line="246" w:lineRule="auto"/>
        <w:rPr>
          <w:rFonts w:ascii="宋体" w:hAnsi="宋体" w:eastAsia="宋体" w:cs="宋体"/>
          <w:sz w:val="24"/>
          <w:szCs w:val="24"/>
        </w:rPr>
        <w:sectPr>
          <w:footerReference r:id="rId70" w:type="default"/>
          <w:pgSz w:w="11907" w:h="16839"/>
          <w:pgMar w:top="400" w:right="1449" w:bottom="743" w:left="1417" w:header="0" w:footer="582" w:gutter="0"/>
          <w:cols w:space="720" w:num="1"/>
        </w:sectPr>
      </w:pPr>
    </w:p>
    <w:p w14:paraId="3C59BDAF">
      <w:pPr>
        <w:pStyle w:val="2"/>
        <w:spacing w:line="252" w:lineRule="auto"/>
      </w:pPr>
    </w:p>
    <w:p w14:paraId="34283875">
      <w:pPr>
        <w:pStyle w:val="2"/>
        <w:spacing w:line="252" w:lineRule="auto"/>
      </w:pPr>
    </w:p>
    <w:p w14:paraId="5E67B498">
      <w:pPr>
        <w:pStyle w:val="2"/>
        <w:spacing w:line="252" w:lineRule="auto"/>
      </w:pPr>
    </w:p>
    <w:p w14:paraId="7D8FC95D">
      <w:pPr>
        <w:pStyle w:val="2"/>
        <w:spacing w:before="78" w:line="246" w:lineRule="auto"/>
        <w:ind w:left="2" w:hanging="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6</w:t>
      </w:r>
      <w:r>
        <w:rPr>
          <w:color w:val="202935"/>
          <w:spacing w:val="-1"/>
          <w:sz w:val="24"/>
          <w:szCs w:val="24"/>
        </w:rPr>
        <w:t>.</w:t>
      </w:r>
      <w:r>
        <w:rPr>
          <w:strike/>
          <w:color w:val="202935"/>
          <w:spacing w:val="-1"/>
          <w:sz w:val="24"/>
          <w:szCs w:val="24"/>
        </w:rPr>
        <w:t>2(1)</w:t>
      </w:r>
      <w:r>
        <w:rPr>
          <w:strike/>
          <w:color w:val="202935"/>
          <w:spacing w:val="23"/>
          <w:sz w:val="24"/>
          <w:szCs w:val="24"/>
        </w:rPr>
        <w:t xml:space="preserve">   </w:t>
      </w:r>
      <w:r>
        <w:rPr>
          <w:rFonts w:ascii="宋体" w:hAnsi="宋体" w:eastAsia="宋体" w:cs="宋体"/>
          <w:strike/>
          <w:color w:val="202935"/>
          <w:spacing w:val="-1"/>
          <w:sz w:val="24"/>
          <w:szCs w:val="24"/>
        </w:rPr>
        <w:t>系统所用设备及其安装部件的机械结构应有足够的强度，应能防止由于机械</w:t>
      </w:r>
      <w:r>
        <w:rPr>
          <w:rFonts w:ascii="宋体" w:hAnsi="宋体" w:eastAsia="宋体" w:cs="宋体"/>
          <w:color w:val="202935"/>
          <w:spacing w:val="1"/>
          <w:sz w:val="24"/>
          <w:szCs w:val="24"/>
        </w:rPr>
        <w:t xml:space="preserve"> </w:t>
      </w:r>
      <w:r>
        <w:rPr>
          <w:rFonts w:ascii="宋体" w:hAnsi="宋体" w:eastAsia="宋体" w:cs="宋体"/>
          <w:strike/>
          <w:color w:val="202935"/>
          <w:sz w:val="24"/>
          <w:szCs w:val="24"/>
        </w:rPr>
        <w:t>重心不稳、安装固定不牢、突出物和锐利边缘以及显示</w:t>
      </w:r>
      <w:r>
        <w:rPr>
          <w:rFonts w:ascii="宋体" w:hAnsi="宋体" w:eastAsia="宋体" w:cs="宋体"/>
          <w:strike/>
          <w:color w:val="202935"/>
          <w:spacing w:val="-1"/>
          <w:sz w:val="24"/>
          <w:szCs w:val="24"/>
        </w:rPr>
        <w:t>设备爆裂等造成对人员的伤</w:t>
      </w:r>
    </w:p>
    <w:p w14:paraId="37EE959C">
      <w:pPr>
        <w:spacing w:before="27" w:line="207" w:lineRule="auto"/>
        <w:ind w:left="6"/>
        <w:rPr>
          <w:rFonts w:ascii="宋体" w:hAnsi="宋体" w:eastAsia="宋体" w:cs="宋体"/>
          <w:sz w:val="24"/>
          <w:szCs w:val="24"/>
        </w:rPr>
      </w:pPr>
      <w:r>
        <w:rPr>
          <w:rFonts w:ascii="宋体" w:hAnsi="宋体" w:eastAsia="宋体" w:cs="宋体"/>
          <w:strike/>
          <w:color w:val="202935"/>
          <w:spacing w:val="-4"/>
          <w:sz w:val="24"/>
          <w:szCs w:val="24"/>
        </w:rPr>
        <w:t>害；</w:t>
      </w:r>
    </w:p>
    <w:p w14:paraId="6D49271E">
      <w:pPr>
        <w:pStyle w:val="2"/>
        <w:ind w:left="5" w:right="20" w:hanging="4"/>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6</w:t>
      </w:r>
      <w:r>
        <w:rPr>
          <w:color w:val="202935"/>
          <w:spacing w:val="-1"/>
          <w:sz w:val="24"/>
          <w:szCs w:val="24"/>
        </w:rPr>
        <w:t>.</w:t>
      </w:r>
      <w:r>
        <w:rPr>
          <w:strike/>
          <w:color w:val="202935"/>
          <w:spacing w:val="-1"/>
          <w:sz w:val="24"/>
          <w:szCs w:val="24"/>
        </w:rPr>
        <w:t>2(2)</w:t>
      </w:r>
      <w:r>
        <w:rPr>
          <w:strike/>
          <w:color w:val="202935"/>
          <w:spacing w:val="21"/>
          <w:sz w:val="24"/>
          <w:szCs w:val="24"/>
        </w:rPr>
        <w:t xml:space="preserve">   </w:t>
      </w:r>
      <w:r>
        <w:rPr>
          <w:rFonts w:ascii="宋体" w:hAnsi="宋体" w:eastAsia="宋体" w:cs="宋体"/>
          <w:strike/>
          <w:color w:val="202935"/>
          <w:spacing w:val="-1"/>
          <w:sz w:val="24"/>
          <w:szCs w:val="24"/>
        </w:rPr>
        <w:t>系统所用设备所产生的气体、</w:t>
      </w:r>
      <w:r>
        <w:rPr>
          <w:strike/>
          <w:color w:val="202935"/>
          <w:spacing w:val="-1"/>
          <w:sz w:val="24"/>
          <w:szCs w:val="24"/>
        </w:rPr>
        <w:t xml:space="preserve">X </w:t>
      </w:r>
      <w:r>
        <w:rPr>
          <w:rFonts w:ascii="宋体" w:hAnsi="宋体" w:eastAsia="宋体" w:cs="宋体"/>
          <w:strike/>
          <w:color w:val="202935"/>
          <w:spacing w:val="-1"/>
          <w:sz w:val="24"/>
          <w:szCs w:val="24"/>
        </w:rPr>
        <w:t>射线、激光辐射和电磁辐射等应符合国家相</w:t>
      </w:r>
      <w:r>
        <w:rPr>
          <w:rFonts w:ascii="宋体" w:hAnsi="宋体" w:eastAsia="宋体" w:cs="宋体"/>
          <w:color w:val="202935"/>
          <w:spacing w:val="1"/>
          <w:sz w:val="24"/>
          <w:szCs w:val="24"/>
        </w:rPr>
        <w:t xml:space="preserve"> </w:t>
      </w:r>
      <w:r>
        <w:rPr>
          <w:rFonts w:ascii="宋体" w:hAnsi="宋体" w:eastAsia="宋体" w:cs="宋体"/>
          <w:strike/>
          <w:color w:val="202935"/>
          <w:spacing w:val="-1"/>
          <w:sz w:val="24"/>
          <w:szCs w:val="24"/>
        </w:rPr>
        <w:t>关标准的要求，不能损害人体健康；</w:t>
      </w:r>
    </w:p>
    <w:p w14:paraId="7818DC1D">
      <w:pPr>
        <w:pStyle w:val="2"/>
        <w:spacing w:line="327" w:lineRule="exact"/>
        <w:ind w:left="1"/>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2(3)</w:t>
      </w:r>
      <w:r>
        <w:rPr>
          <w:strike/>
          <w:color w:val="202935"/>
          <w:spacing w:val="21"/>
          <w:position w:val="2"/>
          <w:sz w:val="24"/>
          <w:szCs w:val="24"/>
        </w:rPr>
        <w:t xml:space="preserve">   </w:t>
      </w:r>
      <w:r>
        <w:rPr>
          <w:rFonts w:ascii="宋体" w:hAnsi="宋体" w:eastAsia="宋体" w:cs="宋体"/>
          <w:strike/>
          <w:color w:val="202935"/>
          <w:spacing w:val="-1"/>
          <w:position w:val="2"/>
          <w:sz w:val="24"/>
          <w:szCs w:val="24"/>
        </w:rPr>
        <w:t>系统和设备应有防人身触电、防火、防过热的保护措施；</w:t>
      </w:r>
    </w:p>
    <w:p w14:paraId="050DAEC8">
      <w:pPr>
        <w:pStyle w:val="2"/>
        <w:spacing w:line="264" w:lineRule="auto"/>
      </w:pPr>
    </w:p>
    <w:p w14:paraId="3D2E9793">
      <w:pPr>
        <w:pStyle w:val="2"/>
        <w:spacing w:before="78" w:line="320" w:lineRule="exact"/>
        <w:ind w:left="1"/>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4(3)</w:t>
      </w:r>
      <w:r>
        <w:rPr>
          <w:strike/>
          <w:color w:val="202935"/>
          <w:spacing w:val="17"/>
          <w:w w:val="101"/>
          <w:position w:val="2"/>
          <w:sz w:val="24"/>
          <w:szCs w:val="24"/>
        </w:rPr>
        <w:t xml:space="preserve">   </w:t>
      </w:r>
      <w:r>
        <w:rPr>
          <w:rFonts w:ascii="宋体" w:hAnsi="宋体" w:eastAsia="宋体" w:cs="宋体"/>
          <w:strike/>
          <w:color w:val="202935"/>
          <w:spacing w:val="-1"/>
          <w:position w:val="2"/>
          <w:sz w:val="24"/>
          <w:szCs w:val="24"/>
        </w:rPr>
        <w:t>应有防病毒和防网络入侵的措施；</w:t>
      </w:r>
    </w:p>
    <w:p w14:paraId="34BE9EB8">
      <w:pPr>
        <w:pStyle w:val="2"/>
        <w:spacing w:before="1" w:line="239" w:lineRule="auto"/>
        <w:ind w:left="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6</w:t>
      </w:r>
      <w:r>
        <w:rPr>
          <w:color w:val="202935"/>
          <w:spacing w:val="-1"/>
          <w:sz w:val="24"/>
          <w:szCs w:val="24"/>
        </w:rPr>
        <w:t>.</w:t>
      </w:r>
      <w:r>
        <w:rPr>
          <w:strike/>
          <w:color w:val="202935"/>
          <w:spacing w:val="-1"/>
          <w:sz w:val="24"/>
          <w:szCs w:val="24"/>
        </w:rPr>
        <w:t>4(5)</w:t>
      </w:r>
      <w:r>
        <w:rPr>
          <w:strike/>
          <w:color w:val="202935"/>
          <w:spacing w:val="22"/>
          <w:w w:val="101"/>
          <w:sz w:val="24"/>
          <w:szCs w:val="24"/>
        </w:rPr>
        <w:t xml:space="preserve">   </w:t>
      </w:r>
      <w:r>
        <w:rPr>
          <w:rFonts w:ascii="宋体" w:hAnsi="宋体" w:eastAsia="宋体" w:cs="宋体"/>
          <w:strike/>
          <w:color w:val="202935"/>
          <w:spacing w:val="-1"/>
          <w:sz w:val="24"/>
          <w:szCs w:val="24"/>
        </w:rPr>
        <w:t>系统运行的密钥或编码不应是弱口令，用户名和操作密码组合应不同；</w:t>
      </w:r>
    </w:p>
    <w:p w14:paraId="15DFDF2C">
      <w:pPr>
        <w:pStyle w:val="2"/>
        <w:spacing w:before="2" w:line="243" w:lineRule="auto"/>
        <w:ind w:left="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6</w:t>
      </w:r>
      <w:r>
        <w:rPr>
          <w:color w:val="202935"/>
          <w:spacing w:val="-1"/>
          <w:sz w:val="24"/>
          <w:szCs w:val="24"/>
        </w:rPr>
        <w:t>.</w:t>
      </w:r>
      <w:r>
        <w:rPr>
          <w:strike/>
          <w:color w:val="202935"/>
          <w:spacing w:val="-1"/>
          <w:sz w:val="24"/>
          <w:szCs w:val="24"/>
        </w:rPr>
        <w:t>4(6)</w:t>
      </w:r>
      <w:r>
        <w:rPr>
          <w:strike/>
          <w:color w:val="202935"/>
          <w:spacing w:val="23"/>
          <w:sz w:val="24"/>
          <w:szCs w:val="24"/>
        </w:rPr>
        <w:t xml:space="preserve">   </w:t>
      </w:r>
      <w:r>
        <w:rPr>
          <w:rFonts w:ascii="宋体" w:hAnsi="宋体" w:eastAsia="宋体" w:cs="宋体"/>
          <w:strike/>
          <w:color w:val="202935"/>
          <w:spacing w:val="-1"/>
          <w:sz w:val="24"/>
          <w:szCs w:val="24"/>
        </w:rPr>
        <w:t>当基于不同传输网络的系统和设备联网时，应采取相应的网络边界安全管理</w:t>
      </w:r>
      <w:r>
        <w:rPr>
          <w:rFonts w:ascii="宋体" w:hAnsi="宋体" w:eastAsia="宋体" w:cs="宋体"/>
          <w:color w:val="202935"/>
          <w:spacing w:val="1"/>
          <w:sz w:val="24"/>
          <w:szCs w:val="24"/>
        </w:rPr>
        <w:t xml:space="preserve"> </w:t>
      </w:r>
      <w:r>
        <w:rPr>
          <w:rFonts w:ascii="宋体" w:hAnsi="宋体" w:eastAsia="宋体" w:cs="宋体"/>
          <w:strike/>
          <w:color w:val="202935"/>
          <w:spacing w:val="-3"/>
          <w:sz w:val="24"/>
          <w:szCs w:val="24"/>
        </w:rPr>
        <w:t>措施；</w:t>
      </w:r>
    </w:p>
    <w:p w14:paraId="752EA20F">
      <w:pPr>
        <w:pStyle w:val="2"/>
        <w:spacing w:line="262" w:lineRule="auto"/>
      </w:pPr>
    </w:p>
    <w:p w14:paraId="157C33D5">
      <w:pPr>
        <w:pStyle w:val="2"/>
        <w:spacing w:before="79" w:line="320" w:lineRule="exact"/>
        <w:ind w:left="1"/>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 xml:space="preserve">5(1)   </w:t>
      </w:r>
      <w:r>
        <w:rPr>
          <w:rFonts w:ascii="宋体" w:hAnsi="宋体" w:eastAsia="宋体" w:cs="宋体"/>
          <w:strike/>
          <w:color w:val="202935"/>
          <w:spacing w:val="1"/>
          <w:position w:val="2"/>
          <w:sz w:val="24"/>
          <w:szCs w:val="24"/>
        </w:rPr>
        <w:t>入侵和紧急报警系统应具备防拆、断路、</w:t>
      </w:r>
      <w:r>
        <w:rPr>
          <w:rFonts w:ascii="宋体" w:hAnsi="宋体" w:eastAsia="宋体" w:cs="宋体"/>
          <w:strike/>
          <w:color w:val="202935"/>
          <w:position w:val="2"/>
          <w:sz w:val="24"/>
          <w:szCs w:val="24"/>
        </w:rPr>
        <w:t>短路报警功能；</w:t>
      </w:r>
    </w:p>
    <w:p w14:paraId="0AB7A10C">
      <w:pPr>
        <w:pStyle w:val="2"/>
        <w:spacing w:before="2" w:line="243" w:lineRule="auto"/>
        <w:ind w:left="10" w:hanging="9"/>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6</w:t>
      </w:r>
      <w:r>
        <w:rPr>
          <w:color w:val="202935"/>
          <w:spacing w:val="-1"/>
          <w:sz w:val="24"/>
          <w:szCs w:val="24"/>
        </w:rPr>
        <w:t>.</w:t>
      </w:r>
      <w:r>
        <w:rPr>
          <w:strike/>
          <w:color w:val="202935"/>
          <w:spacing w:val="-1"/>
          <w:sz w:val="24"/>
          <w:szCs w:val="24"/>
        </w:rPr>
        <w:t>5(3)</w:t>
      </w:r>
      <w:r>
        <w:rPr>
          <w:strike/>
          <w:color w:val="202935"/>
          <w:spacing w:val="23"/>
          <w:sz w:val="24"/>
          <w:szCs w:val="24"/>
        </w:rPr>
        <w:t xml:space="preserve">   </w:t>
      </w:r>
      <w:r>
        <w:rPr>
          <w:rFonts w:ascii="宋体" w:hAnsi="宋体" w:eastAsia="宋体" w:cs="宋体"/>
          <w:strike/>
          <w:color w:val="202935"/>
          <w:spacing w:val="-1"/>
          <w:sz w:val="24"/>
          <w:szCs w:val="24"/>
        </w:rPr>
        <w:t>系统供电暂时中断恢复供电后，系统应能自动恢复原有工作状态，该功能应</w:t>
      </w:r>
      <w:r>
        <w:rPr>
          <w:rFonts w:ascii="宋体" w:hAnsi="宋体" w:eastAsia="宋体" w:cs="宋体"/>
          <w:color w:val="202935"/>
          <w:spacing w:val="1"/>
          <w:sz w:val="24"/>
          <w:szCs w:val="24"/>
        </w:rPr>
        <w:t xml:space="preserve"> </w:t>
      </w:r>
      <w:r>
        <w:rPr>
          <w:rFonts w:ascii="宋体" w:hAnsi="宋体" w:eastAsia="宋体" w:cs="宋体"/>
          <w:strike/>
          <w:color w:val="202935"/>
          <w:spacing w:val="-3"/>
          <w:sz w:val="24"/>
          <w:szCs w:val="24"/>
        </w:rPr>
        <w:t>能人工设定；</w:t>
      </w:r>
    </w:p>
    <w:p w14:paraId="506BDD4C">
      <w:pPr>
        <w:pStyle w:val="2"/>
        <w:spacing w:line="263" w:lineRule="auto"/>
      </w:pPr>
    </w:p>
    <w:p w14:paraId="01378773">
      <w:pPr>
        <w:pStyle w:val="2"/>
        <w:spacing w:before="79" w:line="246" w:lineRule="auto"/>
        <w:ind w:left="1" w:right="93"/>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12</w:t>
      </w:r>
      <w:r>
        <w:rPr>
          <w:color w:val="202935"/>
          <w:spacing w:val="-1"/>
          <w:sz w:val="24"/>
          <w:szCs w:val="24"/>
        </w:rPr>
        <w:t>.</w:t>
      </w:r>
      <w:r>
        <w:rPr>
          <w:strike/>
          <w:color w:val="202935"/>
          <w:spacing w:val="-1"/>
          <w:sz w:val="24"/>
          <w:szCs w:val="24"/>
        </w:rPr>
        <w:t>4(3)</w:t>
      </w:r>
      <w:r>
        <w:rPr>
          <w:strike/>
          <w:color w:val="202935"/>
          <w:spacing w:val="20"/>
          <w:sz w:val="24"/>
          <w:szCs w:val="24"/>
        </w:rPr>
        <w:t xml:space="preserve">   </w:t>
      </w:r>
      <w:r>
        <w:rPr>
          <w:rFonts w:ascii="宋体" w:hAnsi="宋体" w:eastAsia="宋体" w:cs="宋体"/>
          <w:strike/>
          <w:color w:val="202935"/>
          <w:spacing w:val="-1"/>
          <w:sz w:val="24"/>
          <w:szCs w:val="24"/>
        </w:rPr>
        <w:t>安全等级</w:t>
      </w:r>
      <w:r>
        <w:rPr>
          <w:rFonts w:ascii="宋体" w:hAnsi="宋体" w:eastAsia="宋体" w:cs="宋体"/>
          <w:strike/>
          <w:color w:val="202935"/>
          <w:spacing w:val="-56"/>
          <w:sz w:val="24"/>
          <w:szCs w:val="24"/>
        </w:rPr>
        <w:t xml:space="preserve"> </w:t>
      </w:r>
      <w:r>
        <w:rPr>
          <w:strike/>
          <w:color w:val="202935"/>
          <w:spacing w:val="-1"/>
          <w:sz w:val="24"/>
          <w:szCs w:val="24"/>
        </w:rPr>
        <w:t xml:space="preserve">4 </w:t>
      </w:r>
      <w:r>
        <w:rPr>
          <w:rFonts w:ascii="宋体" w:hAnsi="宋体" w:eastAsia="宋体" w:cs="宋体"/>
          <w:strike/>
          <w:color w:val="202935"/>
          <w:spacing w:val="-1"/>
          <w:sz w:val="24"/>
          <w:szCs w:val="24"/>
        </w:rPr>
        <w:t>级的出入口控制点执行装置为断电开启的设备时，在满负荷状</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态下，备用电源应能确保该执行装置正常运行不应小于</w:t>
      </w:r>
      <w:r>
        <w:rPr>
          <w:rFonts w:ascii="宋体" w:hAnsi="宋体" w:eastAsia="宋体" w:cs="宋体"/>
          <w:strike/>
          <w:color w:val="202935"/>
          <w:spacing w:val="-43"/>
          <w:sz w:val="24"/>
          <w:szCs w:val="24"/>
        </w:rPr>
        <w:t xml:space="preserve"> </w:t>
      </w:r>
      <w:r>
        <w:rPr>
          <w:strike/>
          <w:color w:val="202935"/>
          <w:spacing w:val="-1"/>
          <w:sz w:val="24"/>
          <w:szCs w:val="24"/>
        </w:rPr>
        <w:t>72h</w:t>
      </w:r>
      <w:r>
        <w:rPr>
          <w:strike/>
          <w:color w:val="202935"/>
          <w:spacing w:val="-34"/>
          <w:sz w:val="24"/>
          <w:szCs w:val="24"/>
        </w:rPr>
        <w:t xml:space="preserve"> </w:t>
      </w:r>
      <w:r>
        <w:rPr>
          <w:rFonts w:ascii="宋体" w:hAnsi="宋体" w:eastAsia="宋体" w:cs="宋体"/>
          <w:strike/>
          <w:color w:val="202935"/>
          <w:spacing w:val="-1"/>
          <w:sz w:val="24"/>
          <w:szCs w:val="24"/>
        </w:rPr>
        <w:t>。</w:t>
      </w:r>
    </w:p>
    <w:p w14:paraId="3E73014A">
      <w:pPr>
        <w:pStyle w:val="2"/>
        <w:spacing w:line="264" w:lineRule="auto"/>
      </w:pPr>
    </w:p>
    <w:p w14:paraId="67355DE5">
      <w:pPr>
        <w:pStyle w:val="2"/>
        <w:spacing w:before="78" w:line="234" w:lineRule="auto"/>
        <w:ind w:left="3" w:right="39" w:hanging="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13</w:t>
      </w:r>
      <w:r>
        <w:rPr>
          <w:color w:val="202935"/>
          <w:spacing w:val="-1"/>
          <w:sz w:val="24"/>
          <w:szCs w:val="24"/>
        </w:rPr>
        <w:t>.</w:t>
      </w:r>
      <w:r>
        <w:rPr>
          <w:strike/>
          <w:color w:val="202935"/>
          <w:spacing w:val="-1"/>
          <w:sz w:val="24"/>
          <w:szCs w:val="24"/>
        </w:rPr>
        <w:t>1(4)</w:t>
      </w:r>
      <w:r>
        <w:rPr>
          <w:strike/>
          <w:color w:val="202935"/>
          <w:spacing w:val="23"/>
          <w:w w:val="101"/>
          <w:sz w:val="24"/>
          <w:szCs w:val="24"/>
        </w:rPr>
        <w:t xml:space="preserve">   </w:t>
      </w:r>
      <w:r>
        <w:rPr>
          <w:rFonts w:ascii="宋体" w:hAnsi="宋体" w:eastAsia="宋体" w:cs="宋体"/>
          <w:strike/>
          <w:color w:val="202935"/>
          <w:spacing w:val="-1"/>
          <w:sz w:val="24"/>
          <w:szCs w:val="24"/>
        </w:rPr>
        <w:t>高风险保护对象的安全防范工程应采用专用传输网络</w:t>
      </w:r>
      <w:r>
        <w:rPr>
          <w:color w:val="202935"/>
          <w:spacing w:val="-1"/>
          <w:sz w:val="24"/>
          <w:szCs w:val="24"/>
        </w:rPr>
        <w:t>[</w:t>
      </w:r>
      <w:r>
        <w:rPr>
          <w:rFonts w:ascii="宋体" w:hAnsi="宋体" w:eastAsia="宋体" w:cs="宋体"/>
          <w:strike/>
          <w:color w:val="202935"/>
          <w:spacing w:val="-1"/>
          <w:sz w:val="24"/>
          <w:szCs w:val="24"/>
        </w:rPr>
        <w:t>专线和（或）虚拟专</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用网</w:t>
      </w:r>
      <w:r>
        <w:rPr>
          <w:position w:val="-7"/>
          <w:sz w:val="24"/>
          <w:szCs w:val="24"/>
        </w:rPr>
        <w:drawing>
          <wp:inline distT="0" distB="0" distL="0" distR="0">
            <wp:extent cx="194945" cy="13906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94"/>
                    <a:stretch>
                      <a:fillRect/>
                    </a:stretch>
                  </pic:blipFill>
                  <pic:spPr>
                    <a:xfrm>
                      <a:off x="0" y="0"/>
                      <a:ext cx="195084" cy="139293"/>
                    </a:xfrm>
                    <a:prstGeom prst="rect">
                      <a:avLst/>
                    </a:prstGeom>
                  </pic:spPr>
                </pic:pic>
              </a:graphicData>
            </a:graphic>
          </wp:inline>
        </w:drawing>
      </w:r>
      <w:r>
        <w:rPr>
          <w:rFonts w:ascii="宋体" w:hAnsi="宋体" w:eastAsia="宋体" w:cs="宋体"/>
          <w:color w:val="202935"/>
          <w:spacing w:val="-4"/>
          <w:position w:val="-5"/>
          <w:sz w:val="24"/>
          <w:szCs w:val="24"/>
        </w:rPr>
        <w:t>。</w:t>
      </w:r>
    </w:p>
    <w:p w14:paraId="220877AE">
      <w:pPr>
        <w:pStyle w:val="2"/>
        <w:spacing w:line="245" w:lineRule="auto"/>
      </w:pPr>
    </w:p>
    <w:p w14:paraId="49088081">
      <w:pPr>
        <w:pStyle w:val="2"/>
        <w:spacing w:before="78" w:line="247" w:lineRule="auto"/>
        <w:ind w:left="2" w:right="106" w:hanging="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13</w:t>
      </w:r>
      <w:r>
        <w:rPr>
          <w:color w:val="202935"/>
          <w:spacing w:val="1"/>
          <w:sz w:val="24"/>
          <w:szCs w:val="24"/>
        </w:rPr>
        <w:t>.</w:t>
      </w:r>
      <w:r>
        <w:rPr>
          <w:strike/>
          <w:color w:val="202935"/>
          <w:spacing w:val="1"/>
          <w:sz w:val="24"/>
          <w:szCs w:val="24"/>
        </w:rPr>
        <w:t xml:space="preserve">3(2)   </w:t>
      </w:r>
      <w:r>
        <w:rPr>
          <w:rFonts w:ascii="宋体" w:hAnsi="宋体" w:eastAsia="宋体" w:cs="宋体"/>
          <w:strike/>
          <w:color w:val="202935"/>
          <w:spacing w:val="1"/>
          <w:sz w:val="24"/>
          <w:szCs w:val="24"/>
        </w:rPr>
        <w:t>无线发射装置、接收装置的发身频率、</w:t>
      </w:r>
      <w:r>
        <w:rPr>
          <w:rFonts w:ascii="宋体" w:hAnsi="宋体" w:eastAsia="宋体" w:cs="宋体"/>
          <w:strike/>
          <w:color w:val="202935"/>
          <w:sz w:val="24"/>
          <w:szCs w:val="24"/>
        </w:rPr>
        <w:t>功率应符合国家无线电管理的有关</w:t>
      </w:r>
      <w:r>
        <w:rPr>
          <w:rFonts w:ascii="宋体" w:hAnsi="宋体" w:eastAsia="宋体" w:cs="宋体"/>
          <w:color w:val="202935"/>
          <w:sz w:val="24"/>
          <w:szCs w:val="24"/>
        </w:rPr>
        <w:t xml:space="preserve"> </w:t>
      </w:r>
      <w:r>
        <w:rPr>
          <w:rFonts w:ascii="宋体" w:hAnsi="宋体" w:eastAsia="宋体" w:cs="宋体"/>
          <w:strike/>
          <w:color w:val="202935"/>
          <w:spacing w:val="-3"/>
          <w:sz w:val="24"/>
          <w:szCs w:val="24"/>
        </w:rPr>
        <w:t>规定；</w:t>
      </w:r>
    </w:p>
    <w:p w14:paraId="42B48A72">
      <w:pPr>
        <w:pStyle w:val="2"/>
        <w:spacing w:line="262" w:lineRule="auto"/>
      </w:pPr>
    </w:p>
    <w:p w14:paraId="12AD1E9F">
      <w:pPr>
        <w:pStyle w:val="2"/>
        <w:spacing w:before="79"/>
        <w:ind w:left="19" w:right="106" w:hanging="18"/>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13</w:t>
      </w:r>
      <w:r>
        <w:rPr>
          <w:color w:val="202935"/>
          <w:spacing w:val="1"/>
          <w:sz w:val="24"/>
          <w:szCs w:val="24"/>
        </w:rPr>
        <w:t>.</w:t>
      </w:r>
      <w:r>
        <w:rPr>
          <w:strike/>
          <w:color w:val="202935"/>
          <w:spacing w:val="1"/>
          <w:sz w:val="24"/>
          <w:szCs w:val="24"/>
        </w:rPr>
        <w:t xml:space="preserve">4(4)   </w:t>
      </w:r>
      <w:r>
        <w:rPr>
          <w:rFonts w:ascii="宋体" w:hAnsi="宋体" w:eastAsia="宋体" w:cs="宋体"/>
          <w:strike/>
          <w:color w:val="202935"/>
          <w:spacing w:val="1"/>
          <w:sz w:val="24"/>
          <w:szCs w:val="24"/>
        </w:rPr>
        <w:t>监控中心的值守区与设备区为两个独立</w:t>
      </w:r>
      <w:r>
        <w:rPr>
          <w:rFonts w:ascii="宋体" w:hAnsi="宋体" w:eastAsia="宋体" w:cs="宋体"/>
          <w:strike/>
          <w:color w:val="202935"/>
          <w:sz w:val="24"/>
          <w:szCs w:val="24"/>
        </w:rPr>
        <w:t>物理区域且不相邻时，两个区域之</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间的传输线缆应封闭保护，其保护结构的抗拉伸、抗弯折强度不应低于镀锌钢管。</w:t>
      </w:r>
    </w:p>
    <w:p w14:paraId="6A0CCC35">
      <w:pPr>
        <w:pStyle w:val="2"/>
        <w:spacing w:line="319" w:lineRule="exact"/>
        <w:ind w:left="1"/>
        <w:rPr>
          <w:rFonts w:ascii="宋体" w:hAnsi="宋体" w:eastAsia="宋体" w:cs="宋体"/>
          <w:sz w:val="24"/>
          <w:szCs w:val="24"/>
        </w:rPr>
      </w:pPr>
      <w:r>
        <w:rPr>
          <w:strike/>
          <w:color w:val="202935"/>
          <w:spacing w:val="1"/>
          <w:position w:val="2"/>
          <w:sz w:val="24"/>
          <w:szCs w:val="24"/>
        </w:rPr>
        <w:t>6</w:t>
      </w:r>
      <w:r>
        <w:rPr>
          <w:color w:val="202935"/>
          <w:spacing w:val="1"/>
          <w:position w:val="2"/>
          <w:sz w:val="24"/>
          <w:szCs w:val="24"/>
        </w:rPr>
        <w:t>.</w:t>
      </w:r>
      <w:r>
        <w:rPr>
          <w:strike/>
          <w:color w:val="202935"/>
          <w:spacing w:val="1"/>
          <w:position w:val="2"/>
          <w:sz w:val="24"/>
          <w:szCs w:val="24"/>
        </w:rPr>
        <w:t>13</w:t>
      </w:r>
      <w:r>
        <w:rPr>
          <w:color w:val="202935"/>
          <w:spacing w:val="1"/>
          <w:position w:val="2"/>
          <w:sz w:val="24"/>
          <w:szCs w:val="24"/>
        </w:rPr>
        <w:t>.</w:t>
      </w:r>
      <w:r>
        <w:rPr>
          <w:strike/>
          <w:color w:val="202935"/>
          <w:spacing w:val="1"/>
          <w:position w:val="2"/>
          <w:sz w:val="24"/>
          <w:szCs w:val="24"/>
        </w:rPr>
        <w:t xml:space="preserve">4(5)   </w:t>
      </w:r>
      <w:r>
        <w:rPr>
          <w:rFonts w:ascii="宋体" w:hAnsi="宋体" w:eastAsia="宋体" w:cs="宋体"/>
          <w:strike/>
          <w:color w:val="202935"/>
          <w:spacing w:val="1"/>
          <w:position w:val="2"/>
          <w:sz w:val="24"/>
          <w:szCs w:val="24"/>
        </w:rPr>
        <w:t>来自高风险区域的线缆路由经过低风险</w:t>
      </w:r>
      <w:r>
        <w:rPr>
          <w:rFonts w:ascii="宋体" w:hAnsi="宋体" w:eastAsia="宋体" w:cs="宋体"/>
          <w:strike/>
          <w:color w:val="202935"/>
          <w:position w:val="2"/>
          <w:sz w:val="24"/>
          <w:szCs w:val="24"/>
        </w:rPr>
        <w:t>区域时，应采取必要的防护措施。</w:t>
      </w:r>
    </w:p>
    <w:p w14:paraId="2F49D32E">
      <w:pPr>
        <w:pStyle w:val="2"/>
        <w:spacing w:before="2" w:line="242" w:lineRule="auto"/>
        <w:ind w:right="106" w:firstLine="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13</w:t>
      </w:r>
      <w:r>
        <w:rPr>
          <w:color w:val="202935"/>
          <w:spacing w:val="-1"/>
          <w:sz w:val="24"/>
          <w:szCs w:val="24"/>
        </w:rPr>
        <w:t>.</w:t>
      </w:r>
      <w:r>
        <w:rPr>
          <w:strike/>
          <w:color w:val="202935"/>
          <w:spacing w:val="-1"/>
          <w:sz w:val="24"/>
          <w:szCs w:val="24"/>
        </w:rPr>
        <w:t xml:space="preserve">4(6)    </w:t>
      </w:r>
      <w:r>
        <w:rPr>
          <w:rFonts w:ascii="宋体" w:hAnsi="宋体" w:eastAsia="宋体" w:cs="宋体"/>
          <w:strike/>
          <w:color w:val="202935"/>
          <w:spacing w:val="-1"/>
          <w:sz w:val="24"/>
          <w:szCs w:val="24"/>
        </w:rPr>
        <w:t>出入口执行部分的输入线缆在该出入口的对应受控区、同权限受控区、高</w:t>
      </w:r>
      <w:r>
        <w:rPr>
          <w:rFonts w:ascii="宋体" w:hAnsi="宋体" w:eastAsia="宋体" w:cs="宋体"/>
          <w:color w:val="202935"/>
          <w:spacing w:val="7"/>
          <w:sz w:val="24"/>
          <w:szCs w:val="24"/>
        </w:rPr>
        <w:t xml:space="preserve"> </w:t>
      </w:r>
      <w:r>
        <w:rPr>
          <w:rFonts w:ascii="宋体" w:hAnsi="宋体" w:eastAsia="宋体" w:cs="宋体"/>
          <w:strike/>
          <w:color w:val="202935"/>
          <w:sz w:val="24"/>
          <w:szCs w:val="24"/>
        </w:rPr>
        <w:t>权限受控区以外的部分应封闭保护，其保护结构的抗拉伸、抗弯</w:t>
      </w:r>
      <w:r>
        <w:rPr>
          <w:rFonts w:ascii="宋体" w:hAnsi="宋体" w:eastAsia="宋体" w:cs="宋体"/>
          <w:strike/>
          <w:color w:val="202935"/>
          <w:spacing w:val="-1"/>
          <w:sz w:val="24"/>
          <w:szCs w:val="24"/>
        </w:rPr>
        <w:t>折强度不应低于镀锌</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钢管。</w:t>
      </w:r>
    </w:p>
    <w:p w14:paraId="0CA70A9E">
      <w:pPr>
        <w:pStyle w:val="2"/>
        <w:spacing w:line="263" w:lineRule="auto"/>
      </w:pPr>
    </w:p>
    <w:p w14:paraId="6CDC0AFF">
      <w:pPr>
        <w:pStyle w:val="2"/>
        <w:spacing w:before="78"/>
        <w:ind w:left="5" w:right="106" w:hanging="4"/>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14</w:t>
      </w:r>
      <w:r>
        <w:rPr>
          <w:color w:val="202935"/>
          <w:spacing w:val="1"/>
          <w:sz w:val="24"/>
          <w:szCs w:val="24"/>
        </w:rPr>
        <w:t>.</w:t>
      </w:r>
      <w:r>
        <w:rPr>
          <w:strike/>
          <w:color w:val="202935"/>
          <w:spacing w:val="1"/>
          <w:sz w:val="24"/>
          <w:szCs w:val="24"/>
        </w:rPr>
        <w:t xml:space="preserve">2(1)   </w:t>
      </w:r>
      <w:r>
        <w:rPr>
          <w:rFonts w:ascii="宋体" w:hAnsi="宋体" w:eastAsia="宋体" w:cs="宋体"/>
          <w:strike/>
          <w:color w:val="202935"/>
          <w:spacing w:val="1"/>
          <w:sz w:val="24"/>
          <w:szCs w:val="24"/>
        </w:rPr>
        <w:t>监控中心应有保证自身安全的防护措施</w:t>
      </w:r>
      <w:r>
        <w:rPr>
          <w:rFonts w:ascii="宋体" w:hAnsi="宋体" w:eastAsia="宋体" w:cs="宋体"/>
          <w:strike/>
          <w:color w:val="202935"/>
          <w:sz w:val="24"/>
          <w:szCs w:val="24"/>
        </w:rPr>
        <w:t>和进行内外联络的通信手段，并应</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设置紧急报警装置和留有向上</w:t>
      </w:r>
      <w:r>
        <w:rPr>
          <w:rFonts w:ascii="宋体" w:hAnsi="宋体" w:eastAsia="宋体" w:cs="宋体"/>
          <w:color w:val="202935"/>
          <w:spacing w:val="-1"/>
          <w:sz w:val="24"/>
          <w:szCs w:val="24"/>
        </w:rPr>
        <w:t>一</w:t>
      </w:r>
      <w:r>
        <w:rPr>
          <w:rFonts w:ascii="宋体" w:hAnsi="宋体" w:eastAsia="宋体" w:cs="宋体"/>
          <w:strike/>
          <w:color w:val="202935"/>
          <w:spacing w:val="-1"/>
          <w:sz w:val="24"/>
          <w:szCs w:val="24"/>
        </w:rPr>
        <w:t>级接处警中心报警的通信接口；</w:t>
      </w:r>
    </w:p>
    <w:p w14:paraId="6AAB0962">
      <w:pPr>
        <w:pStyle w:val="2"/>
        <w:spacing w:before="3" w:line="239" w:lineRule="auto"/>
        <w:ind w:left="2" w:right="106" w:hanging="1"/>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14</w:t>
      </w:r>
      <w:r>
        <w:rPr>
          <w:color w:val="202935"/>
          <w:spacing w:val="1"/>
          <w:sz w:val="24"/>
          <w:szCs w:val="24"/>
        </w:rPr>
        <w:t>.</w:t>
      </w:r>
      <w:r>
        <w:rPr>
          <w:strike/>
          <w:color w:val="202935"/>
          <w:spacing w:val="1"/>
          <w:sz w:val="24"/>
          <w:szCs w:val="24"/>
        </w:rPr>
        <w:t xml:space="preserve">2(2)   </w:t>
      </w:r>
      <w:r>
        <w:rPr>
          <w:rFonts w:ascii="宋体" w:hAnsi="宋体" w:eastAsia="宋体" w:cs="宋体"/>
          <w:strike/>
          <w:color w:val="202935"/>
          <w:spacing w:val="1"/>
          <w:sz w:val="24"/>
          <w:szCs w:val="24"/>
        </w:rPr>
        <w:t>监控中心出入口应设置视频监控和出入</w:t>
      </w:r>
      <w:r>
        <w:rPr>
          <w:rFonts w:ascii="宋体" w:hAnsi="宋体" w:eastAsia="宋体" w:cs="宋体"/>
          <w:strike/>
          <w:color w:val="202935"/>
          <w:sz w:val="24"/>
          <w:szCs w:val="24"/>
        </w:rPr>
        <w:t>口控制装置；监视效果应能清晰显</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示监控中心出入口外部区域的人员特征及活动情况；</w:t>
      </w:r>
    </w:p>
    <w:p w14:paraId="387F98E2">
      <w:pPr>
        <w:pStyle w:val="2"/>
        <w:spacing w:before="2" w:line="239" w:lineRule="auto"/>
        <w:ind w:left="5" w:right="106" w:hanging="4"/>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14</w:t>
      </w:r>
      <w:r>
        <w:rPr>
          <w:color w:val="202935"/>
          <w:spacing w:val="1"/>
          <w:sz w:val="24"/>
          <w:szCs w:val="24"/>
        </w:rPr>
        <w:t>.</w:t>
      </w:r>
      <w:r>
        <w:rPr>
          <w:strike/>
          <w:color w:val="202935"/>
          <w:spacing w:val="1"/>
          <w:sz w:val="24"/>
          <w:szCs w:val="24"/>
        </w:rPr>
        <w:t xml:space="preserve">2(3)   </w:t>
      </w:r>
      <w:r>
        <w:rPr>
          <w:rFonts w:ascii="宋体" w:hAnsi="宋体" w:eastAsia="宋体" w:cs="宋体"/>
          <w:strike/>
          <w:color w:val="202935"/>
          <w:spacing w:val="1"/>
          <w:sz w:val="24"/>
          <w:szCs w:val="24"/>
        </w:rPr>
        <w:t>监控中心内应设置视频监控装置，监视</w:t>
      </w:r>
      <w:r>
        <w:rPr>
          <w:rFonts w:ascii="宋体" w:hAnsi="宋体" w:eastAsia="宋体" w:cs="宋体"/>
          <w:strike/>
          <w:color w:val="202935"/>
          <w:sz w:val="24"/>
          <w:szCs w:val="24"/>
        </w:rPr>
        <w:t>效果应能清晰显示监控中心内人员</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活动的情况；</w:t>
      </w:r>
    </w:p>
    <w:p w14:paraId="08F9E111">
      <w:pPr>
        <w:pStyle w:val="2"/>
        <w:spacing w:before="1" w:line="246" w:lineRule="auto"/>
        <w:ind w:left="3" w:right="106" w:hanging="2"/>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14</w:t>
      </w:r>
      <w:r>
        <w:rPr>
          <w:color w:val="202935"/>
          <w:spacing w:val="1"/>
          <w:sz w:val="24"/>
          <w:szCs w:val="24"/>
        </w:rPr>
        <w:t>.</w:t>
      </w:r>
      <w:r>
        <w:rPr>
          <w:strike/>
          <w:color w:val="202935"/>
          <w:spacing w:val="1"/>
          <w:sz w:val="24"/>
          <w:szCs w:val="24"/>
        </w:rPr>
        <w:t xml:space="preserve">2(4)   </w:t>
      </w:r>
      <w:r>
        <w:rPr>
          <w:rFonts w:ascii="宋体" w:hAnsi="宋体" w:eastAsia="宋体" w:cs="宋体"/>
          <w:strike/>
          <w:color w:val="202935"/>
          <w:spacing w:val="1"/>
          <w:sz w:val="24"/>
          <w:szCs w:val="24"/>
        </w:rPr>
        <w:t>应对设置在监控中心的出入口控制系统</w:t>
      </w:r>
      <w:r>
        <w:rPr>
          <w:rFonts w:ascii="宋体" w:hAnsi="宋体" w:eastAsia="宋体" w:cs="宋体"/>
          <w:strike/>
          <w:color w:val="202935"/>
          <w:sz w:val="24"/>
          <w:szCs w:val="24"/>
        </w:rPr>
        <w:t>管理主机、网络接口设备、网络线</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缆等采取强化保护措施；</w:t>
      </w:r>
    </w:p>
    <w:p w14:paraId="2E5A16EF">
      <w:pPr>
        <w:pStyle w:val="2"/>
        <w:spacing w:line="265" w:lineRule="auto"/>
      </w:pPr>
    </w:p>
    <w:p w14:paraId="4EAF31E4">
      <w:pPr>
        <w:pStyle w:val="2"/>
        <w:spacing w:before="78" w:line="246" w:lineRule="auto"/>
        <w:ind w:left="8" w:right="106" w:hanging="7"/>
        <w:rPr>
          <w:rFonts w:ascii="宋体" w:hAnsi="宋体" w:eastAsia="宋体" w:cs="宋体"/>
          <w:sz w:val="24"/>
          <w:szCs w:val="24"/>
        </w:rPr>
      </w:pPr>
      <w:r>
        <w:rPr>
          <w:strike/>
          <w:color w:val="202935"/>
          <w:spacing w:val="1"/>
          <w:sz w:val="24"/>
          <w:szCs w:val="24"/>
        </w:rPr>
        <w:t>6</w:t>
      </w:r>
      <w:r>
        <w:rPr>
          <w:color w:val="202935"/>
          <w:spacing w:val="1"/>
          <w:sz w:val="24"/>
          <w:szCs w:val="24"/>
        </w:rPr>
        <w:t>.</w:t>
      </w:r>
      <w:r>
        <w:rPr>
          <w:strike/>
          <w:color w:val="202935"/>
          <w:spacing w:val="1"/>
          <w:sz w:val="24"/>
          <w:szCs w:val="24"/>
        </w:rPr>
        <w:t>14</w:t>
      </w:r>
      <w:r>
        <w:rPr>
          <w:color w:val="202935"/>
          <w:spacing w:val="1"/>
          <w:sz w:val="24"/>
          <w:szCs w:val="24"/>
        </w:rPr>
        <w:t>.</w:t>
      </w:r>
      <w:r>
        <w:rPr>
          <w:strike/>
          <w:color w:val="202935"/>
          <w:spacing w:val="1"/>
          <w:sz w:val="24"/>
          <w:szCs w:val="24"/>
        </w:rPr>
        <w:t xml:space="preserve">3(2)   </w:t>
      </w:r>
      <w:r>
        <w:rPr>
          <w:rFonts w:ascii="宋体" w:hAnsi="宋体" w:eastAsia="宋体" w:cs="宋体"/>
          <w:strike/>
          <w:color w:val="202935"/>
          <w:spacing w:val="1"/>
          <w:sz w:val="24"/>
          <w:szCs w:val="24"/>
        </w:rPr>
        <w:t>监控中心的疏散门应采用外开方式，且</w:t>
      </w:r>
      <w:r>
        <w:rPr>
          <w:rFonts w:ascii="宋体" w:hAnsi="宋体" w:eastAsia="宋体" w:cs="宋体"/>
          <w:strike/>
          <w:color w:val="202935"/>
          <w:sz w:val="24"/>
          <w:szCs w:val="24"/>
        </w:rPr>
        <w:t>应自动关闭，并应保证在任何情况</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下均能从室内开启；</w:t>
      </w:r>
    </w:p>
    <w:p w14:paraId="31EF1A3A">
      <w:pPr>
        <w:spacing w:line="246" w:lineRule="auto"/>
        <w:rPr>
          <w:rFonts w:ascii="宋体" w:hAnsi="宋体" w:eastAsia="宋体" w:cs="宋体"/>
          <w:sz w:val="24"/>
          <w:szCs w:val="24"/>
        </w:rPr>
        <w:sectPr>
          <w:footerReference r:id="rId71" w:type="default"/>
          <w:pgSz w:w="11907" w:h="16839"/>
          <w:pgMar w:top="400" w:right="1502" w:bottom="743" w:left="1424" w:header="0" w:footer="582" w:gutter="0"/>
          <w:cols w:space="720" w:num="1"/>
        </w:sectPr>
      </w:pPr>
    </w:p>
    <w:p w14:paraId="7DBD61AE">
      <w:pPr>
        <w:pStyle w:val="2"/>
        <w:spacing w:line="252" w:lineRule="auto"/>
      </w:pPr>
    </w:p>
    <w:p w14:paraId="38BBB7BE">
      <w:pPr>
        <w:pStyle w:val="2"/>
        <w:spacing w:line="252" w:lineRule="auto"/>
      </w:pPr>
    </w:p>
    <w:p w14:paraId="6F05A072">
      <w:pPr>
        <w:pStyle w:val="2"/>
        <w:spacing w:line="252" w:lineRule="auto"/>
      </w:pPr>
    </w:p>
    <w:p w14:paraId="31385F05">
      <w:pPr>
        <w:pStyle w:val="2"/>
        <w:spacing w:before="78"/>
        <w:ind w:left="2" w:right="13" w:firstLine="3"/>
        <w:rPr>
          <w:rFonts w:ascii="宋体" w:hAnsi="宋体" w:eastAsia="宋体" w:cs="宋体"/>
          <w:sz w:val="24"/>
          <w:szCs w:val="24"/>
        </w:rPr>
      </w:pPr>
      <w:r>
        <w:rPr>
          <w:strike/>
          <w:color w:val="202935"/>
          <w:spacing w:val="-1"/>
          <w:sz w:val="24"/>
          <w:szCs w:val="24"/>
        </w:rPr>
        <w:t>7.2. 4(3)</w:t>
      </w:r>
      <w:r>
        <w:rPr>
          <w:strike/>
          <w:color w:val="202935"/>
          <w:spacing w:val="23"/>
          <w:sz w:val="24"/>
          <w:szCs w:val="24"/>
        </w:rPr>
        <w:t xml:space="preserve">   </w:t>
      </w:r>
      <w:r>
        <w:rPr>
          <w:rFonts w:ascii="宋体" w:hAnsi="宋体" w:eastAsia="宋体" w:cs="宋体"/>
          <w:strike/>
          <w:color w:val="202935"/>
          <w:spacing w:val="-1"/>
          <w:sz w:val="24"/>
          <w:szCs w:val="24"/>
        </w:rPr>
        <w:t>线缆接续点和终端应进行统</w:t>
      </w:r>
      <w:r>
        <w:rPr>
          <w:rFonts w:ascii="宋体" w:hAnsi="宋体" w:eastAsia="宋体" w:cs="宋体"/>
          <w:color w:val="202935"/>
          <w:spacing w:val="-1"/>
          <w:sz w:val="24"/>
          <w:szCs w:val="24"/>
        </w:rPr>
        <w:t>一</w:t>
      </w:r>
      <w:r>
        <w:rPr>
          <w:rFonts w:ascii="宋体" w:hAnsi="宋体" w:eastAsia="宋体" w:cs="宋体"/>
          <w:strike/>
          <w:color w:val="202935"/>
          <w:spacing w:val="-1"/>
          <w:sz w:val="24"/>
          <w:szCs w:val="24"/>
        </w:rPr>
        <w:t>编号、设置永久标识，线缆两端、检修孔等位</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置应设置标签。</w:t>
      </w:r>
    </w:p>
    <w:p w14:paraId="0C55ECA6">
      <w:pPr>
        <w:pStyle w:val="2"/>
        <w:spacing w:line="242" w:lineRule="auto"/>
        <w:ind w:left="4" w:firstLine="1"/>
        <w:rPr>
          <w:rFonts w:ascii="宋体" w:hAnsi="宋体" w:eastAsia="宋体" w:cs="宋体"/>
          <w:sz w:val="24"/>
          <w:szCs w:val="24"/>
        </w:rPr>
      </w:pPr>
      <w:r>
        <w:rPr>
          <w:strike/>
          <w:color w:val="202935"/>
          <w:spacing w:val="-1"/>
          <w:sz w:val="24"/>
          <w:szCs w:val="24"/>
        </w:rPr>
        <w:t>7.2. 4(5)</w:t>
      </w:r>
      <w:r>
        <w:rPr>
          <w:strike/>
          <w:color w:val="202935"/>
          <w:spacing w:val="20"/>
          <w:sz w:val="24"/>
          <w:szCs w:val="24"/>
        </w:rPr>
        <w:t xml:space="preserve">   </w:t>
      </w:r>
      <w:r>
        <w:rPr>
          <w:rFonts w:ascii="宋体" w:hAnsi="宋体" w:eastAsia="宋体" w:cs="宋体"/>
          <w:strike/>
          <w:color w:val="202935"/>
          <w:spacing w:val="-1"/>
          <w:sz w:val="24"/>
          <w:szCs w:val="24"/>
        </w:rPr>
        <w:t>多芯电缆的弯曲半径应大于其外径的</w:t>
      </w:r>
      <w:r>
        <w:rPr>
          <w:rFonts w:ascii="宋体" w:hAnsi="宋体" w:eastAsia="宋体" w:cs="宋体"/>
          <w:strike/>
          <w:color w:val="202935"/>
          <w:spacing w:val="-51"/>
          <w:sz w:val="24"/>
          <w:szCs w:val="24"/>
        </w:rPr>
        <w:t xml:space="preserve"> </w:t>
      </w:r>
      <w:r>
        <w:rPr>
          <w:strike/>
          <w:color w:val="202935"/>
          <w:spacing w:val="-1"/>
          <w:sz w:val="24"/>
          <w:szCs w:val="24"/>
        </w:rPr>
        <w:t xml:space="preserve">6 </w:t>
      </w:r>
      <w:r>
        <w:rPr>
          <w:rFonts w:ascii="宋体" w:hAnsi="宋体" w:eastAsia="宋体" w:cs="宋体"/>
          <w:strike/>
          <w:color w:val="202935"/>
          <w:spacing w:val="-1"/>
          <w:sz w:val="24"/>
          <w:szCs w:val="24"/>
        </w:rPr>
        <w:t>倍，同轴电缆的弯曲半</w:t>
      </w:r>
      <w:r>
        <w:rPr>
          <w:rFonts w:ascii="宋体" w:hAnsi="宋体" w:eastAsia="宋体" w:cs="宋体"/>
          <w:strike/>
          <w:color w:val="202935"/>
          <w:spacing w:val="-2"/>
          <w:sz w:val="24"/>
          <w:szCs w:val="24"/>
        </w:rPr>
        <w:t>径应大于其外</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径的</w:t>
      </w:r>
      <w:r>
        <w:rPr>
          <w:rFonts w:ascii="宋体" w:hAnsi="宋体" w:eastAsia="宋体" w:cs="宋体"/>
          <w:strike/>
          <w:color w:val="202935"/>
          <w:spacing w:val="-34"/>
          <w:sz w:val="24"/>
          <w:szCs w:val="24"/>
        </w:rPr>
        <w:t xml:space="preserve"> </w:t>
      </w:r>
      <w:r>
        <w:rPr>
          <w:strike/>
          <w:color w:val="202935"/>
          <w:spacing w:val="-1"/>
          <w:sz w:val="24"/>
          <w:szCs w:val="24"/>
        </w:rPr>
        <w:t xml:space="preserve">15 </w:t>
      </w:r>
      <w:r>
        <w:rPr>
          <w:rFonts w:ascii="宋体" w:hAnsi="宋体" w:eastAsia="宋体" w:cs="宋体"/>
          <w:strike/>
          <w:color w:val="202935"/>
          <w:spacing w:val="-1"/>
          <w:sz w:val="24"/>
          <w:szCs w:val="24"/>
        </w:rPr>
        <w:t>倍，</w:t>
      </w:r>
      <w:r>
        <w:rPr>
          <w:strike/>
          <w:color w:val="202935"/>
          <w:spacing w:val="-1"/>
          <w:sz w:val="24"/>
          <w:szCs w:val="24"/>
        </w:rPr>
        <w:t xml:space="preserve">4 </w:t>
      </w:r>
      <w:r>
        <w:rPr>
          <w:rFonts w:ascii="宋体" w:hAnsi="宋体" w:eastAsia="宋体" w:cs="宋体"/>
          <w:strike/>
          <w:color w:val="202935"/>
          <w:spacing w:val="-1"/>
          <w:sz w:val="24"/>
          <w:szCs w:val="24"/>
        </w:rPr>
        <w:t>对型网络数据电缆的弯曲半</w:t>
      </w:r>
      <w:r>
        <w:rPr>
          <w:rFonts w:ascii="宋体" w:hAnsi="宋体" w:eastAsia="宋体" w:cs="宋体"/>
          <w:strike/>
          <w:color w:val="202935"/>
          <w:spacing w:val="-2"/>
          <w:sz w:val="24"/>
          <w:szCs w:val="24"/>
        </w:rPr>
        <w:t>径应大于其外径的</w:t>
      </w:r>
      <w:r>
        <w:rPr>
          <w:rFonts w:ascii="宋体" w:hAnsi="宋体" w:eastAsia="宋体" w:cs="宋体"/>
          <w:strike/>
          <w:color w:val="202935"/>
          <w:spacing w:val="-57"/>
          <w:sz w:val="24"/>
          <w:szCs w:val="24"/>
        </w:rPr>
        <w:t xml:space="preserve"> </w:t>
      </w:r>
      <w:r>
        <w:rPr>
          <w:strike/>
          <w:color w:val="202935"/>
          <w:spacing w:val="-2"/>
          <w:sz w:val="24"/>
          <w:szCs w:val="24"/>
        </w:rPr>
        <w:t xml:space="preserve">4 </w:t>
      </w:r>
      <w:r>
        <w:rPr>
          <w:rFonts w:ascii="宋体" w:hAnsi="宋体" w:eastAsia="宋体" w:cs="宋体"/>
          <w:strike/>
          <w:color w:val="202935"/>
          <w:spacing w:val="-2"/>
          <w:sz w:val="24"/>
          <w:szCs w:val="24"/>
        </w:rPr>
        <w:t>倍，光缆的弯曲半径应</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大于光缆外径的</w:t>
      </w:r>
      <w:r>
        <w:rPr>
          <w:rFonts w:ascii="宋体" w:hAnsi="宋体" w:eastAsia="宋体" w:cs="宋体"/>
          <w:strike/>
          <w:color w:val="202935"/>
          <w:spacing w:val="-25"/>
          <w:sz w:val="24"/>
          <w:szCs w:val="24"/>
        </w:rPr>
        <w:t xml:space="preserve"> </w:t>
      </w:r>
      <w:r>
        <w:rPr>
          <w:strike/>
          <w:color w:val="202935"/>
          <w:spacing w:val="-4"/>
          <w:sz w:val="24"/>
          <w:szCs w:val="24"/>
        </w:rPr>
        <w:t xml:space="preserve">10 </w:t>
      </w:r>
      <w:r>
        <w:rPr>
          <w:rFonts w:ascii="宋体" w:hAnsi="宋体" w:eastAsia="宋体" w:cs="宋体"/>
          <w:strike/>
          <w:color w:val="202935"/>
          <w:spacing w:val="-4"/>
          <w:sz w:val="24"/>
          <w:szCs w:val="24"/>
        </w:rPr>
        <w:t>倍。</w:t>
      </w:r>
    </w:p>
    <w:p w14:paraId="55AB171E">
      <w:pPr>
        <w:pStyle w:val="2"/>
        <w:spacing w:before="1" w:line="243" w:lineRule="auto"/>
        <w:ind w:left="4" w:right="120" w:firstLine="1"/>
        <w:rPr>
          <w:rFonts w:ascii="宋体" w:hAnsi="宋体" w:eastAsia="宋体" w:cs="宋体"/>
          <w:sz w:val="24"/>
          <w:szCs w:val="24"/>
        </w:rPr>
      </w:pPr>
      <w:r>
        <w:rPr>
          <w:strike/>
          <w:color w:val="202935"/>
          <w:spacing w:val="1"/>
          <w:sz w:val="24"/>
          <w:szCs w:val="24"/>
        </w:rPr>
        <w:t xml:space="preserve">7.2. 4(12)   </w:t>
      </w:r>
      <w:r>
        <w:rPr>
          <w:rFonts w:ascii="宋体" w:hAnsi="宋体" w:eastAsia="宋体" w:cs="宋体"/>
          <w:strike/>
          <w:color w:val="202935"/>
          <w:spacing w:val="1"/>
          <w:sz w:val="24"/>
          <w:szCs w:val="24"/>
        </w:rPr>
        <w:t>在研制、生产、使用、储存、经</w:t>
      </w:r>
      <w:r>
        <w:rPr>
          <w:rFonts w:ascii="宋体" w:hAnsi="宋体" w:eastAsia="宋体" w:cs="宋体"/>
          <w:strike/>
          <w:color w:val="202935"/>
          <w:sz w:val="24"/>
          <w:szCs w:val="24"/>
        </w:rPr>
        <w:t>营和运输过程中可能出现易燃易爆的特殊</w:t>
      </w:r>
      <w:r>
        <w:rPr>
          <w:rFonts w:ascii="宋体" w:hAnsi="宋体" w:eastAsia="宋体" w:cs="宋体"/>
          <w:color w:val="202935"/>
          <w:sz w:val="24"/>
          <w:szCs w:val="24"/>
        </w:rPr>
        <w:t xml:space="preserve"> </w:t>
      </w:r>
      <w:r>
        <w:rPr>
          <w:rFonts w:ascii="宋体" w:hAnsi="宋体" w:eastAsia="宋体" w:cs="宋体"/>
          <w:strike/>
          <w:color w:val="202935"/>
          <w:sz w:val="24"/>
          <w:szCs w:val="24"/>
        </w:rPr>
        <w:t>环境，应按现行国家标准的有关规定，进行危险源辨识，</w:t>
      </w:r>
      <w:r>
        <w:rPr>
          <w:rFonts w:ascii="宋体" w:hAnsi="宋体" w:eastAsia="宋体" w:cs="宋体"/>
          <w:strike/>
          <w:color w:val="202935"/>
          <w:spacing w:val="-1"/>
          <w:sz w:val="24"/>
          <w:szCs w:val="24"/>
        </w:rPr>
        <w:t>根据其规定的危险场所分</w:t>
      </w:r>
    </w:p>
    <w:p w14:paraId="70400108">
      <w:pPr>
        <w:spacing w:before="27" w:line="230" w:lineRule="auto"/>
        <w:ind w:left="23" w:right="187" w:hanging="19"/>
        <w:rPr>
          <w:rFonts w:ascii="宋体" w:hAnsi="宋体" w:eastAsia="宋体" w:cs="宋体"/>
          <w:sz w:val="24"/>
          <w:szCs w:val="24"/>
        </w:rPr>
      </w:pPr>
      <w:r>
        <w:rPr>
          <w:rFonts w:ascii="宋体" w:hAnsi="宋体" w:eastAsia="宋体" w:cs="宋体"/>
          <w:strike/>
          <w:color w:val="202935"/>
          <w:sz w:val="24"/>
          <w:szCs w:val="24"/>
        </w:rPr>
        <w:t>类，采用相对应的材料，保持安全距离，合理规划管线敷设</w:t>
      </w:r>
      <w:r>
        <w:rPr>
          <w:rFonts w:ascii="宋体" w:hAnsi="宋体" w:eastAsia="宋体" w:cs="宋体"/>
          <w:strike/>
          <w:color w:val="202935"/>
          <w:spacing w:val="-1"/>
          <w:sz w:val="24"/>
          <w:szCs w:val="24"/>
        </w:rPr>
        <w:t>的位置，严格遵守所规定</w:t>
      </w:r>
      <w:r>
        <w:rPr>
          <w:rFonts w:ascii="宋体" w:hAnsi="宋体" w:eastAsia="宋体" w:cs="宋体"/>
          <w:color w:val="202935"/>
          <w:sz w:val="24"/>
          <w:szCs w:val="24"/>
        </w:rPr>
        <w:t xml:space="preserve"> </w:t>
      </w:r>
      <w:r>
        <w:rPr>
          <w:rFonts w:ascii="宋体" w:hAnsi="宋体" w:eastAsia="宋体" w:cs="宋体"/>
          <w:strike/>
          <w:color w:val="202935"/>
          <w:spacing w:val="-4"/>
          <w:sz w:val="24"/>
          <w:szCs w:val="24"/>
        </w:rPr>
        <w:t>的施工工艺方法。</w:t>
      </w:r>
    </w:p>
    <w:p w14:paraId="3865B162">
      <w:pPr>
        <w:pStyle w:val="2"/>
        <w:spacing w:line="261" w:lineRule="auto"/>
      </w:pPr>
    </w:p>
    <w:p w14:paraId="58EE0063">
      <w:pPr>
        <w:pStyle w:val="2"/>
        <w:spacing w:before="79" w:line="246" w:lineRule="auto"/>
        <w:ind w:left="4" w:right="133"/>
        <w:rPr>
          <w:rFonts w:ascii="宋体" w:hAnsi="宋体" w:eastAsia="宋体" w:cs="宋体"/>
          <w:sz w:val="24"/>
          <w:szCs w:val="24"/>
        </w:rPr>
      </w:pPr>
      <w:r>
        <w:rPr>
          <w:strike/>
          <w:color w:val="202935"/>
          <w:spacing w:val="-1"/>
          <w:sz w:val="24"/>
          <w:szCs w:val="24"/>
        </w:rPr>
        <w:t>9.1.3</w:t>
      </w:r>
      <w:r>
        <w:rPr>
          <w:strike/>
          <w:color w:val="202935"/>
          <w:spacing w:val="22"/>
          <w:w w:val="101"/>
          <w:sz w:val="24"/>
          <w:szCs w:val="24"/>
        </w:rPr>
        <w:t xml:space="preserve">   </w:t>
      </w:r>
      <w:r>
        <w:rPr>
          <w:rFonts w:ascii="宋体" w:hAnsi="宋体" w:eastAsia="宋体" w:cs="宋体"/>
          <w:strike/>
          <w:color w:val="202935"/>
          <w:spacing w:val="-1"/>
          <w:sz w:val="24"/>
          <w:szCs w:val="24"/>
        </w:rPr>
        <w:t>工程检验所使用的仪器、仪表必须经检定或校准合格，且检定或校准数据范围</w:t>
      </w:r>
      <w:r>
        <w:rPr>
          <w:rFonts w:ascii="宋体" w:hAnsi="宋体" w:eastAsia="宋体" w:cs="宋体"/>
          <w:color w:val="202935"/>
          <w:sz w:val="24"/>
          <w:szCs w:val="24"/>
        </w:rPr>
        <w:t xml:space="preserve"> </w:t>
      </w:r>
      <w:r>
        <w:rPr>
          <w:rFonts w:ascii="宋体" w:hAnsi="宋体" w:eastAsia="宋体" w:cs="宋体"/>
          <w:strike/>
          <w:color w:val="202935"/>
          <w:spacing w:val="-1"/>
          <w:sz w:val="24"/>
          <w:szCs w:val="24"/>
        </w:rPr>
        <w:t>应满足检验项目的范围和精度的要求。</w:t>
      </w:r>
    </w:p>
    <w:p w14:paraId="4A1EC3DB">
      <w:pPr>
        <w:pStyle w:val="2"/>
        <w:spacing w:line="264" w:lineRule="auto"/>
      </w:pPr>
    </w:p>
    <w:p w14:paraId="746D44BA">
      <w:pPr>
        <w:pStyle w:val="2"/>
        <w:spacing w:before="78" w:line="328" w:lineRule="exact"/>
        <w:ind w:left="20"/>
        <w:rPr>
          <w:rFonts w:ascii="宋体" w:hAnsi="宋体" w:eastAsia="宋体" w:cs="宋体"/>
          <w:sz w:val="24"/>
          <w:szCs w:val="24"/>
        </w:rPr>
      </w:pPr>
      <w:r>
        <w:rPr>
          <w:strike/>
          <w:color w:val="202935"/>
          <w:spacing w:val="-2"/>
          <w:position w:val="1"/>
          <w:sz w:val="24"/>
          <w:szCs w:val="24"/>
        </w:rPr>
        <w:t>11.1.5</w:t>
      </w:r>
      <w:r>
        <w:rPr>
          <w:strike/>
          <w:color w:val="202935"/>
          <w:spacing w:val="21"/>
          <w:w w:val="101"/>
          <w:position w:val="1"/>
          <w:sz w:val="24"/>
          <w:szCs w:val="24"/>
        </w:rPr>
        <w:t xml:space="preserve">   </w:t>
      </w:r>
      <w:r>
        <w:rPr>
          <w:rFonts w:ascii="宋体" w:hAnsi="宋体" w:eastAsia="宋体" w:cs="宋体"/>
          <w:strike/>
          <w:color w:val="202935"/>
          <w:spacing w:val="-2"/>
          <w:position w:val="1"/>
          <w:sz w:val="24"/>
          <w:szCs w:val="24"/>
        </w:rPr>
        <w:t>系统运行与维护工作应落实保密责任与措施。</w:t>
      </w:r>
    </w:p>
    <w:p w14:paraId="6D93E287">
      <w:pPr>
        <w:pStyle w:val="2"/>
        <w:spacing w:line="264" w:lineRule="auto"/>
      </w:pPr>
    </w:p>
    <w:p w14:paraId="3145392A">
      <w:pPr>
        <w:pStyle w:val="2"/>
        <w:spacing w:before="78" w:line="328" w:lineRule="exact"/>
        <w:ind w:left="20"/>
        <w:rPr>
          <w:rFonts w:ascii="宋体" w:hAnsi="宋体" w:eastAsia="宋体" w:cs="宋体"/>
          <w:sz w:val="24"/>
          <w:szCs w:val="24"/>
        </w:rPr>
      </w:pPr>
      <w:r>
        <w:rPr>
          <w:strike/>
          <w:color w:val="202935"/>
          <w:spacing w:val="-2"/>
          <w:position w:val="1"/>
          <w:sz w:val="24"/>
          <w:szCs w:val="24"/>
        </w:rPr>
        <w:t>11.1.6</w:t>
      </w:r>
      <w:r>
        <w:rPr>
          <w:strike/>
          <w:color w:val="202935"/>
          <w:spacing w:val="23"/>
          <w:position w:val="1"/>
          <w:sz w:val="24"/>
          <w:szCs w:val="24"/>
        </w:rPr>
        <w:t xml:space="preserve">   </w:t>
      </w:r>
      <w:r>
        <w:rPr>
          <w:rFonts w:ascii="宋体" w:hAnsi="宋体" w:eastAsia="宋体" w:cs="宋体"/>
          <w:strike/>
          <w:color w:val="202935"/>
          <w:spacing w:val="-2"/>
          <w:position w:val="1"/>
          <w:sz w:val="24"/>
          <w:szCs w:val="24"/>
        </w:rPr>
        <w:t>系统运行与维护人员应经培训和考核合格后上岗。</w:t>
      </w:r>
    </w:p>
    <w:p w14:paraId="7A6DEF2A">
      <w:pPr>
        <w:pStyle w:val="2"/>
        <w:spacing w:line="308" w:lineRule="auto"/>
      </w:pPr>
    </w:p>
    <w:p w14:paraId="55C9F998">
      <w:pPr>
        <w:pStyle w:val="2"/>
        <w:spacing w:before="79" w:line="229" w:lineRule="auto"/>
        <w:ind w:left="11" w:firstLine="9"/>
        <w:rPr>
          <w:rFonts w:ascii="宋体" w:hAnsi="宋体" w:eastAsia="宋体" w:cs="宋体"/>
          <w:sz w:val="24"/>
          <w:szCs w:val="24"/>
        </w:rPr>
      </w:pPr>
      <w:r>
        <w:rPr>
          <w:strike/>
          <w:color w:val="202935"/>
          <w:spacing w:val="-1"/>
          <w:sz w:val="24"/>
          <w:szCs w:val="24"/>
        </w:rPr>
        <w:t xml:space="preserve">11.2.7    </w:t>
      </w:r>
      <w:r>
        <w:rPr>
          <w:rFonts w:ascii="宋体" w:hAnsi="宋体" w:eastAsia="宋体" w:cs="宋体"/>
          <w:strike/>
          <w:color w:val="202935"/>
          <w:spacing w:val="-1"/>
          <w:sz w:val="24"/>
          <w:szCs w:val="24"/>
        </w:rPr>
        <w:t>同时接入监控中心和公安机关接警中心的紧急报警、监</w:t>
      </w:r>
      <w:r>
        <w:rPr>
          <w:rFonts w:ascii="宋体" w:hAnsi="宋体" w:eastAsia="宋体" w:cs="宋体"/>
          <w:strike/>
          <w:color w:val="202935"/>
          <w:spacing w:val="-2"/>
          <w:sz w:val="24"/>
          <w:szCs w:val="24"/>
        </w:rPr>
        <w:t>控中心值机人员应核实</w:t>
      </w:r>
      <w:r>
        <w:rPr>
          <w:rFonts w:ascii="宋体" w:hAnsi="宋体" w:eastAsia="宋体" w:cs="宋体"/>
          <w:color w:val="202935"/>
          <w:sz w:val="24"/>
          <w:szCs w:val="24"/>
        </w:rPr>
        <w:t xml:space="preserve"> </w:t>
      </w:r>
      <w:r>
        <w:rPr>
          <w:rFonts w:ascii="宋体" w:hAnsi="宋体" w:eastAsia="宋体" w:cs="宋体"/>
          <w:strike/>
          <w:color w:val="202935"/>
          <w:spacing w:val="-2"/>
          <w:sz w:val="24"/>
          <w:szCs w:val="24"/>
        </w:rPr>
        <w:t>公安机关是否收到报警信息。</w:t>
      </w:r>
    </w:p>
    <w:p w14:paraId="13187AB8">
      <w:pPr>
        <w:pStyle w:val="2"/>
        <w:spacing w:line="434" w:lineRule="auto"/>
      </w:pPr>
    </w:p>
    <w:p w14:paraId="6FE44BFA">
      <w:pPr>
        <w:pStyle w:val="2"/>
        <w:spacing w:before="89" w:line="226" w:lineRule="auto"/>
        <w:outlineLvl w:val="1"/>
        <w:rPr>
          <w:rFonts w:ascii="宋体" w:hAnsi="宋体" w:eastAsia="宋体" w:cs="宋体"/>
          <w:sz w:val="27"/>
          <w:szCs w:val="27"/>
        </w:rPr>
      </w:pPr>
      <w:bookmarkStart w:id="94" w:name="bookmark140"/>
      <w:bookmarkEnd w:id="94"/>
      <w:r>
        <w:rPr>
          <w:b/>
          <w:bCs/>
          <w:spacing w:val="3"/>
          <w:sz w:val="27"/>
          <w:szCs w:val="27"/>
        </w:rPr>
        <w:t>4.</w:t>
      </w:r>
      <w:r>
        <w:rPr>
          <w:b/>
          <w:bCs/>
          <w:spacing w:val="-46"/>
          <w:sz w:val="27"/>
          <w:szCs w:val="27"/>
        </w:rPr>
        <w:t xml:space="preserve"> </w:t>
      </w:r>
      <w:r>
        <w:rPr>
          <w:rFonts w:ascii="宋体" w:hAnsi="宋体" w:eastAsia="宋体" w:cs="宋体"/>
          <w:b/>
          <w:bCs/>
          <w:spacing w:val="3"/>
          <w:sz w:val="27"/>
          <w:szCs w:val="27"/>
        </w:rPr>
        <w:t>《建筑施工企业安全生产管理规范》</w:t>
      </w:r>
      <w:r>
        <w:rPr>
          <w:rFonts w:ascii="宋体" w:hAnsi="宋体" w:eastAsia="宋体" w:cs="宋体"/>
          <w:spacing w:val="-79"/>
          <w:sz w:val="27"/>
          <w:szCs w:val="27"/>
        </w:rPr>
        <w:t xml:space="preserve"> </w:t>
      </w:r>
      <w:r>
        <w:rPr>
          <w:rFonts w:ascii="宋体" w:hAnsi="宋体" w:eastAsia="宋体" w:cs="宋体"/>
          <w:b/>
          <w:bCs/>
          <w:spacing w:val="3"/>
          <w:sz w:val="27"/>
          <w:szCs w:val="27"/>
        </w:rPr>
        <w:t>——</w:t>
      </w:r>
      <w:r>
        <w:rPr>
          <w:b/>
          <w:bCs/>
          <w:sz w:val="27"/>
          <w:szCs w:val="27"/>
        </w:rPr>
        <w:t>GB</w:t>
      </w:r>
      <w:r>
        <w:rPr>
          <w:b/>
          <w:bCs/>
          <w:spacing w:val="3"/>
          <w:sz w:val="27"/>
          <w:szCs w:val="27"/>
        </w:rPr>
        <w:t>50656-201</w:t>
      </w:r>
      <w:r>
        <w:rPr>
          <w:b/>
          <w:bCs/>
          <w:spacing w:val="2"/>
          <w:sz w:val="27"/>
          <w:szCs w:val="27"/>
        </w:rPr>
        <w:t>1</w:t>
      </w:r>
      <w:r>
        <w:rPr>
          <w:b/>
          <w:bCs/>
          <w:spacing w:val="-18"/>
          <w:sz w:val="27"/>
          <w:szCs w:val="27"/>
        </w:rPr>
        <w:t xml:space="preserve"> </w:t>
      </w:r>
      <w:r>
        <w:rPr>
          <w:rFonts w:ascii="宋体" w:hAnsi="宋体" w:eastAsia="宋体" w:cs="宋体"/>
          <w:b/>
          <w:bCs/>
          <w:spacing w:val="2"/>
          <w:sz w:val="27"/>
          <w:szCs w:val="27"/>
        </w:rPr>
        <w:t>【强条已废】</w:t>
      </w:r>
    </w:p>
    <w:p w14:paraId="069D2A00">
      <w:pPr>
        <w:spacing w:before="284" w:line="220" w:lineRule="auto"/>
        <w:ind w:left="31"/>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GB55029-2022 </w:t>
      </w:r>
      <w:r>
        <w:rPr>
          <w:rFonts w:ascii="宋体" w:hAnsi="宋体" w:eastAsia="宋体" w:cs="宋体"/>
          <w:b/>
          <w:bCs/>
          <w:color w:val="0563C1"/>
          <w:spacing w:val="-2"/>
          <w:sz w:val="24"/>
          <w:szCs w:val="24"/>
          <w:u w:val="single" w:color="auto"/>
        </w:rPr>
        <w:t>安全防范工程通用规</w:t>
      </w:r>
      <w:r>
        <w:rPr>
          <w:rFonts w:ascii="宋体" w:hAnsi="宋体" w:eastAsia="宋体" w:cs="宋体"/>
          <w:b/>
          <w:bCs/>
          <w:color w:val="0563C1"/>
          <w:spacing w:val="-3"/>
          <w:sz w:val="24"/>
          <w:szCs w:val="24"/>
          <w:u w:val="single" w:color="auto"/>
        </w:rPr>
        <w:t>范</w:t>
      </w:r>
      <w:r>
        <w:rPr>
          <w:rFonts w:ascii="宋体" w:hAnsi="宋体" w:eastAsia="宋体" w:cs="宋体"/>
          <w:b/>
          <w:bCs/>
          <w:color w:val="EE0000"/>
          <w:spacing w:val="-3"/>
          <w:sz w:val="24"/>
          <w:szCs w:val="24"/>
        </w:rPr>
        <w:t>》替代</w:t>
      </w:r>
    </w:p>
    <w:p w14:paraId="4F1B4EF9">
      <w:pPr>
        <w:spacing w:before="155" w:line="219" w:lineRule="auto"/>
        <w:ind w:left="4"/>
        <w:rPr>
          <w:rFonts w:ascii="宋体" w:hAnsi="宋体" w:eastAsia="宋体" w:cs="宋体"/>
          <w:sz w:val="24"/>
          <w:szCs w:val="24"/>
        </w:rPr>
      </w:pPr>
      <w:r>
        <w:rPr>
          <w:rFonts w:ascii="Times New Roman" w:hAnsi="Times New Roman" w:eastAsia="Times New Roman" w:cs="Times New Roman"/>
          <w:strike/>
          <w:sz w:val="24"/>
          <w:szCs w:val="24"/>
        </w:rPr>
        <w:t xml:space="preserve">3.0.9    </w:t>
      </w:r>
      <w:r>
        <w:rPr>
          <w:rFonts w:ascii="宋体" w:hAnsi="宋体" w:eastAsia="宋体" w:cs="宋体"/>
          <w:strike/>
          <w:sz w:val="24"/>
          <w:szCs w:val="24"/>
        </w:rPr>
        <w:t>施工企业严禁使用国家明令淘汰的技术、工</w:t>
      </w:r>
      <w:r>
        <w:rPr>
          <w:rFonts w:ascii="宋体" w:hAnsi="宋体" w:eastAsia="宋体" w:cs="宋体"/>
          <w:strike/>
          <w:spacing w:val="-1"/>
          <w:sz w:val="24"/>
          <w:szCs w:val="24"/>
        </w:rPr>
        <w:t>艺、设备、设施和材料。</w:t>
      </w:r>
    </w:p>
    <w:p w14:paraId="0F6678CD">
      <w:pPr>
        <w:spacing w:before="155" w:line="279" w:lineRule="auto"/>
        <w:ind w:left="26" w:right="187" w:hanging="20"/>
        <w:rPr>
          <w:rFonts w:ascii="宋体" w:hAnsi="宋体" w:eastAsia="宋体" w:cs="宋体"/>
          <w:sz w:val="24"/>
          <w:szCs w:val="24"/>
        </w:rPr>
      </w:pPr>
      <w:r>
        <w:rPr>
          <w:rFonts w:ascii="Times New Roman" w:hAnsi="Times New Roman" w:eastAsia="Times New Roman" w:cs="Times New Roman"/>
          <w:strike/>
          <w:sz w:val="24"/>
          <w:szCs w:val="24"/>
        </w:rPr>
        <w:t xml:space="preserve">5.0.3    </w:t>
      </w:r>
      <w:r>
        <w:rPr>
          <w:rFonts w:ascii="宋体" w:hAnsi="宋体" w:eastAsia="宋体" w:cs="宋体"/>
          <w:strike/>
          <w:sz w:val="24"/>
          <w:szCs w:val="24"/>
        </w:rPr>
        <w:t>施工企业应建立和健全与企业安全生产组织相对</w:t>
      </w:r>
      <w:r>
        <w:rPr>
          <w:rFonts w:ascii="宋体" w:hAnsi="宋体" w:eastAsia="宋体" w:cs="宋体"/>
          <w:strike/>
          <w:spacing w:val="-1"/>
          <w:sz w:val="24"/>
          <w:szCs w:val="24"/>
        </w:rPr>
        <w:t>应的安全生产责任体系，并应</w:t>
      </w:r>
      <w:r>
        <w:rPr>
          <w:rFonts w:ascii="宋体" w:hAnsi="宋体" w:eastAsia="宋体" w:cs="宋体"/>
          <w:sz w:val="24"/>
          <w:szCs w:val="24"/>
        </w:rPr>
        <w:t xml:space="preserve"> </w:t>
      </w:r>
      <w:r>
        <w:rPr>
          <w:rFonts w:ascii="宋体" w:hAnsi="宋体" w:eastAsia="宋体" w:cs="宋体"/>
          <w:strike/>
          <w:spacing w:val="-2"/>
          <w:sz w:val="24"/>
          <w:szCs w:val="24"/>
        </w:rPr>
        <w:t>明确各管理层、职能部门、岗位的安全生产责任。</w:t>
      </w:r>
    </w:p>
    <w:p w14:paraId="34FE524F">
      <w:pPr>
        <w:spacing w:before="156" w:line="279" w:lineRule="auto"/>
        <w:ind w:left="2" w:right="307" w:firstLine="20"/>
        <w:rPr>
          <w:rFonts w:ascii="宋体" w:hAnsi="宋体" w:eastAsia="宋体" w:cs="宋体"/>
          <w:sz w:val="24"/>
          <w:szCs w:val="24"/>
        </w:rPr>
      </w:pPr>
      <w:r>
        <w:rPr>
          <w:rFonts w:ascii="Times New Roman" w:hAnsi="Times New Roman" w:eastAsia="Times New Roman" w:cs="Times New Roman"/>
          <w:strike/>
          <w:spacing w:val="-1"/>
          <w:sz w:val="24"/>
          <w:szCs w:val="24"/>
        </w:rPr>
        <w:t xml:space="preserve">10.0.6    </w:t>
      </w:r>
      <w:r>
        <w:rPr>
          <w:rFonts w:ascii="宋体" w:hAnsi="宋体" w:eastAsia="宋体" w:cs="宋体"/>
          <w:strike/>
          <w:spacing w:val="-1"/>
          <w:sz w:val="24"/>
          <w:szCs w:val="24"/>
        </w:rPr>
        <w:t>施工企业应根据施工组织设计、专项施工方案（措施）编制和审批权限的设</w:t>
      </w:r>
      <w:r>
        <w:rPr>
          <w:rFonts w:ascii="宋体" w:hAnsi="宋体" w:eastAsia="宋体" w:cs="宋体"/>
          <w:spacing w:val="13"/>
          <w:sz w:val="24"/>
          <w:szCs w:val="24"/>
        </w:rPr>
        <w:t xml:space="preserve"> </w:t>
      </w:r>
      <w:r>
        <w:rPr>
          <w:rFonts w:ascii="宋体" w:hAnsi="宋体" w:eastAsia="宋体" w:cs="宋体"/>
          <w:strike/>
          <w:sz w:val="24"/>
          <w:szCs w:val="24"/>
        </w:rPr>
        <w:t>置，分级进行安全技术交底，编制人员应参与安全技术</w:t>
      </w:r>
      <w:r>
        <w:rPr>
          <w:rFonts w:ascii="宋体" w:hAnsi="宋体" w:eastAsia="宋体" w:cs="宋体"/>
          <w:strike/>
          <w:spacing w:val="-1"/>
          <w:sz w:val="24"/>
          <w:szCs w:val="24"/>
        </w:rPr>
        <w:t>交底、验收和检查。</w:t>
      </w:r>
    </w:p>
    <w:p w14:paraId="49CE0830">
      <w:pPr>
        <w:spacing w:before="154" w:line="279" w:lineRule="auto"/>
        <w:ind w:left="9" w:right="67" w:firstLine="12"/>
        <w:rPr>
          <w:rFonts w:ascii="宋体" w:hAnsi="宋体" w:eastAsia="宋体" w:cs="宋体"/>
          <w:sz w:val="24"/>
          <w:szCs w:val="24"/>
        </w:rPr>
      </w:pPr>
      <w:r>
        <w:rPr>
          <w:rFonts w:ascii="Times New Roman" w:hAnsi="Times New Roman" w:eastAsia="Times New Roman" w:cs="Times New Roman"/>
          <w:strike/>
          <w:spacing w:val="-1"/>
          <w:sz w:val="24"/>
          <w:szCs w:val="24"/>
        </w:rPr>
        <w:t xml:space="preserve">12.0.3    </w:t>
      </w:r>
      <w:r>
        <w:rPr>
          <w:rFonts w:ascii="宋体" w:hAnsi="宋体" w:eastAsia="宋体" w:cs="宋体"/>
          <w:strike/>
          <w:spacing w:val="-1"/>
          <w:sz w:val="24"/>
          <w:szCs w:val="24"/>
        </w:rPr>
        <w:t>施工企业的工程项目部应根据企业安全生产管理制度，实施施工现场安全生产</w:t>
      </w:r>
      <w:r>
        <w:rPr>
          <w:rFonts w:ascii="宋体" w:hAnsi="宋体" w:eastAsia="宋体" w:cs="宋体"/>
          <w:spacing w:val="14"/>
          <w:sz w:val="24"/>
          <w:szCs w:val="24"/>
        </w:rPr>
        <w:t xml:space="preserve"> </w:t>
      </w:r>
      <w:r>
        <w:rPr>
          <w:rFonts w:ascii="宋体" w:hAnsi="宋体" w:eastAsia="宋体" w:cs="宋体"/>
          <w:strike/>
          <w:spacing w:val="-2"/>
          <w:sz w:val="24"/>
          <w:szCs w:val="24"/>
        </w:rPr>
        <w:t>管理，应包括下列内容</w:t>
      </w:r>
      <w:r>
        <w:rPr>
          <w:rFonts w:ascii="宋体" w:hAnsi="宋体" w:eastAsia="宋体" w:cs="宋体"/>
          <w:strike/>
          <w:spacing w:val="2"/>
          <w:sz w:val="24"/>
          <w:szCs w:val="24"/>
        </w:rPr>
        <w:t>：：</w:t>
      </w:r>
    </w:p>
    <w:p w14:paraId="26A2531D">
      <w:pPr>
        <w:spacing w:before="157" w:line="338" w:lineRule="auto"/>
        <w:ind w:left="5" w:right="187" w:firstLine="479"/>
        <w:jc w:val="both"/>
        <w:rPr>
          <w:rFonts w:ascii="宋体" w:hAnsi="宋体" w:eastAsia="宋体" w:cs="宋体"/>
          <w:sz w:val="24"/>
          <w:szCs w:val="24"/>
        </w:rPr>
      </w:pPr>
      <w:r>
        <w:rPr>
          <w:rFonts w:ascii="Times New Roman" w:hAnsi="Times New Roman" w:eastAsia="Times New Roman" w:cs="Times New Roman"/>
          <w:strike/>
          <w:sz w:val="24"/>
          <w:szCs w:val="24"/>
        </w:rPr>
        <w:t xml:space="preserve">6  </w:t>
      </w:r>
      <w:r>
        <w:rPr>
          <w:rFonts w:ascii="宋体" w:hAnsi="宋体" w:eastAsia="宋体" w:cs="宋体"/>
          <w:strike/>
          <w:sz w:val="24"/>
          <w:szCs w:val="24"/>
        </w:rPr>
        <w:t>确定消防安全责任人，指定用火、用电、使用易燃</w:t>
      </w:r>
      <w:r>
        <w:rPr>
          <w:rFonts w:ascii="宋体" w:hAnsi="宋体" w:eastAsia="宋体" w:cs="宋体"/>
          <w:strike/>
          <w:spacing w:val="-1"/>
          <w:sz w:val="24"/>
          <w:szCs w:val="24"/>
        </w:rPr>
        <w:t>易爆材料等各项消防安全管</w:t>
      </w:r>
      <w:r>
        <w:rPr>
          <w:rFonts w:ascii="宋体" w:hAnsi="宋体" w:eastAsia="宋体" w:cs="宋体"/>
          <w:sz w:val="24"/>
          <w:szCs w:val="24"/>
        </w:rPr>
        <w:t xml:space="preserve"> </w:t>
      </w:r>
      <w:r>
        <w:rPr>
          <w:rFonts w:ascii="宋体" w:hAnsi="宋体" w:eastAsia="宋体" w:cs="宋体"/>
          <w:strike/>
          <w:sz w:val="24"/>
          <w:szCs w:val="24"/>
        </w:rPr>
        <w:t>理制度和操作规程，设置消防通道、消防水源，配备消</w:t>
      </w:r>
      <w:r>
        <w:rPr>
          <w:rFonts w:ascii="宋体" w:hAnsi="宋体" w:eastAsia="宋体" w:cs="宋体"/>
          <w:strike/>
          <w:spacing w:val="-1"/>
          <w:sz w:val="24"/>
          <w:szCs w:val="24"/>
        </w:rPr>
        <w:t>防设施和灭火器材，并在施工</w:t>
      </w:r>
      <w:r>
        <w:rPr>
          <w:rFonts w:ascii="宋体" w:hAnsi="宋体" w:eastAsia="宋体" w:cs="宋体"/>
          <w:sz w:val="24"/>
          <w:szCs w:val="24"/>
        </w:rPr>
        <w:t xml:space="preserve"> </w:t>
      </w:r>
      <w:r>
        <w:rPr>
          <w:rFonts w:ascii="宋体" w:hAnsi="宋体" w:eastAsia="宋体" w:cs="宋体"/>
          <w:strike/>
          <w:spacing w:val="-1"/>
          <w:sz w:val="24"/>
          <w:szCs w:val="24"/>
        </w:rPr>
        <w:t>现场入口处设置明显标志；</w:t>
      </w:r>
    </w:p>
    <w:p w14:paraId="1346E886">
      <w:pPr>
        <w:spacing w:before="2" w:line="339" w:lineRule="auto"/>
        <w:ind w:left="5" w:right="67" w:firstLine="16"/>
        <w:rPr>
          <w:rFonts w:ascii="宋体" w:hAnsi="宋体" w:eastAsia="宋体" w:cs="宋体"/>
          <w:sz w:val="24"/>
          <w:szCs w:val="24"/>
        </w:rPr>
      </w:pPr>
      <w:r>
        <w:rPr>
          <w:rFonts w:ascii="Times New Roman" w:hAnsi="Times New Roman" w:eastAsia="Times New Roman" w:cs="Times New Roman"/>
          <w:strike/>
          <w:spacing w:val="-1"/>
          <w:sz w:val="24"/>
          <w:szCs w:val="24"/>
        </w:rPr>
        <w:t xml:space="preserve">15.0.4    </w:t>
      </w:r>
      <w:r>
        <w:rPr>
          <w:rFonts w:ascii="宋体" w:hAnsi="宋体" w:eastAsia="宋体" w:cs="宋体"/>
          <w:strike/>
          <w:spacing w:val="-1"/>
          <w:sz w:val="24"/>
          <w:szCs w:val="24"/>
        </w:rPr>
        <w:t>施工企业安全检查应配备必要的检查、测试器具，对存在的问题和隐患，应定</w:t>
      </w:r>
      <w:r>
        <w:rPr>
          <w:rFonts w:ascii="宋体" w:hAnsi="宋体" w:eastAsia="宋体" w:cs="宋体"/>
          <w:spacing w:val="14"/>
          <w:sz w:val="24"/>
          <w:szCs w:val="24"/>
        </w:rPr>
        <w:t xml:space="preserve"> </w:t>
      </w:r>
      <w:r>
        <w:rPr>
          <w:rFonts w:ascii="宋体" w:hAnsi="宋体" w:eastAsia="宋体" w:cs="宋体"/>
          <w:strike/>
          <w:spacing w:val="-1"/>
          <w:sz w:val="24"/>
          <w:szCs w:val="24"/>
        </w:rPr>
        <w:t>人、定时间、定措施组织整改，并应跟踪复查直至整改完毕。</w:t>
      </w:r>
    </w:p>
    <w:p w14:paraId="78CA4A2A">
      <w:pPr>
        <w:pStyle w:val="2"/>
        <w:spacing w:before="143" w:line="226" w:lineRule="auto"/>
        <w:ind w:left="6"/>
        <w:outlineLvl w:val="1"/>
        <w:rPr>
          <w:sz w:val="27"/>
          <w:szCs w:val="27"/>
        </w:rPr>
      </w:pPr>
      <w:bookmarkStart w:id="95" w:name="bookmark141"/>
      <w:bookmarkEnd w:id="95"/>
      <w:r>
        <w:rPr>
          <w:b/>
          <w:bCs/>
          <w:spacing w:val="6"/>
          <w:sz w:val="27"/>
          <w:szCs w:val="27"/>
        </w:rPr>
        <w:t>5.</w:t>
      </w:r>
      <w:r>
        <w:rPr>
          <w:b/>
          <w:bCs/>
          <w:spacing w:val="-46"/>
          <w:sz w:val="27"/>
          <w:szCs w:val="27"/>
        </w:rPr>
        <w:t xml:space="preserve"> </w:t>
      </w:r>
      <w:r>
        <w:rPr>
          <w:rFonts w:ascii="宋体" w:hAnsi="宋体" w:eastAsia="宋体" w:cs="宋体"/>
          <w:b/>
          <w:bCs/>
          <w:spacing w:val="6"/>
          <w:sz w:val="27"/>
          <w:szCs w:val="27"/>
        </w:rPr>
        <w:t>《建筑施工安全技术统一规范》——</w:t>
      </w:r>
      <w:r>
        <w:rPr>
          <w:b/>
          <w:bCs/>
          <w:sz w:val="27"/>
          <w:szCs w:val="27"/>
        </w:rPr>
        <w:t>GB</w:t>
      </w:r>
      <w:r>
        <w:rPr>
          <w:b/>
          <w:bCs/>
          <w:spacing w:val="6"/>
          <w:sz w:val="27"/>
          <w:szCs w:val="27"/>
        </w:rPr>
        <w:t>50870-2013</w:t>
      </w:r>
    </w:p>
    <w:p w14:paraId="2576C2BA">
      <w:pPr>
        <w:spacing w:before="286" w:line="220" w:lineRule="auto"/>
        <w:ind w:left="6"/>
        <w:rPr>
          <w:rFonts w:ascii="宋体" w:hAnsi="宋体" w:eastAsia="宋体" w:cs="宋体"/>
          <w:sz w:val="24"/>
          <w:szCs w:val="24"/>
        </w:rPr>
      </w:pPr>
      <w:r>
        <w:rPr>
          <w:rFonts w:ascii="Times New Roman" w:hAnsi="Times New Roman" w:eastAsia="Times New Roman" w:cs="Times New Roman"/>
          <w:sz w:val="24"/>
          <w:szCs w:val="24"/>
        </w:rPr>
        <w:t xml:space="preserve">5.2.1    </w:t>
      </w:r>
      <w:r>
        <w:rPr>
          <w:rFonts w:ascii="宋体" w:hAnsi="宋体" w:eastAsia="宋体" w:cs="宋体"/>
          <w:sz w:val="24"/>
          <w:szCs w:val="24"/>
        </w:rPr>
        <w:t>对建筑施工临时结构应做安全技术分析，并应保</w:t>
      </w:r>
      <w:r>
        <w:rPr>
          <w:rFonts w:ascii="宋体" w:hAnsi="宋体" w:eastAsia="宋体" w:cs="宋体"/>
          <w:spacing w:val="-1"/>
          <w:sz w:val="24"/>
          <w:szCs w:val="24"/>
        </w:rPr>
        <w:t>证在设计规定的使用工况下保</w:t>
      </w:r>
    </w:p>
    <w:p w14:paraId="1AE56639">
      <w:pPr>
        <w:spacing w:line="220" w:lineRule="auto"/>
        <w:rPr>
          <w:rFonts w:ascii="宋体" w:hAnsi="宋体" w:eastAsia="宋体" w:cs="宋体"/>
          <w:sz w:val="24"/>
          <w:szCs w:val="24"/>
        </w:rPr>
        <w:sectPr>
          <w:footerReference r:id="rId72" w:type="default"/>
          <w:pgSz w:w="11907" w:h="16839"/>
          <w:pgMar w:top="400" w:right="1421" w:bottom="743" w:left="1422" w:header="0" w:footer="582" w:gutter="0"/>
          <w:cols w:space="720" w:num="1"/>
        </w:sectPr>
      </w:pPr>
    </w:p>
    <w:p w14:paraId="0A68BC30">
      <w:pPr>
        <w:pStyle w:val="2"/>
        <w:spacing w:line="303" w:lineRule="auto"/>
      </w:pPr>
    </w:p>
    <w:p w14:paraId="780508B4">
      <w:pPr>
        <w:pStyle w:val="2"/>
        <w:spacing w:line="303" w:lineRule="auto"/>
      </w:pPr>
    </w:p>
    <w:p w14:paraId="418430FE">
      <w:pPr>
        <w:pStyle w:val="2"/>
        <w:spacing w:line="303" w:lineRule="auto"/>
      </w:pPr>
    </w:p>
    <w:p w14:paraId="5B7CAF8B">
      <w:pPr>
        <w:spacing w:before="78" w:line="220" w:lineRule="auto"/>
        <w:ind w:left="8"/>
        <w:rPr>
          <w:rFonts w:ascii="宋体" w:hAnsi="宋体" w:eastAsia="宋体" w:cs="宋体"/>
          <w:sz w:val="24"/>
          <w:szCs w:val="24"/>
        </w:rPr>
      </w:pPr>
      <w:r>
        <w:rPr>
          <w:rFonts w:ascii="宋体" w:hAnsi="宋体" w:eastAsia="宋体" w:cs="宋体"/>
          <w:spacing w:val="-6"/>
          <w:sz w:val="24"/>
          <w:szCs w:val="24"/>
        </w:rPr>
        <w:t>持整体稳定性。</w:t>
      </w:r>
    </w:p>
    <w:p w14:paraId="13C4C310">
      <w:pPr>
        <w:spacing w:before="154" w:line="340" w:lineRule="auto"/>
        <w:ind w:left="14" w:right="166" w:hanging="9"/>
        <w:rPr>
          <w:rFonts w:ascii="宋体" w:hAnsi="宋体" w:eastAsia="宋体" w:cs="宋体"/>
          <w:sz w:val="24"/>
          <w:szCs w:val="24"/>
        </w:rPr>
      </w:pPr>
      <w:r>
        <w:rPr>
          <w:rFonts w:ascii="Times New Roman" w:hAnsi="Times New Roman" w:eastAsia="Times New Roman" w:cs="Times New Roman"/>
          <w:sz w:val="24"/>
          <w:szCs w:val="24"/>
        </w:rPr>
        <w:t xml:space="preserve">7.2.2    </w:t>
      </w:r>
      <w:r>
        <w:rPr>
          <w:rFonts w:ascii="宋体" w:hAnsi="宋体" w:eastAsia="宋体" w:cs="宋体"/>
          <w:sz w:val="24"/>
          <w:szCs w:val="24"/>
        </w:rPr>
        <w:t>建筑施工安全应急救援预案应对安全事故的风险特征进</w:t>
      </w:r>
      <w:r>
        <w:rPr>
          <w:rFonts w:ascii="宋体" w:hAnsi="宋体" w:eastAsia="宋体" w:cs="宋体"/>
          <w:spacing w:val="-1"/>
          <w:sz w:val="24"/>
          <w:szCs w:val="24"/>
        </w:rPr>
        <w:t>行安全技术分析，对可</w:t>
      </w:r>
      <w:r>
        <w:rPr>
          <w:rFonts w:ascii="宋体" w:hAnsi="宋体" w:eastAsia="宋体" w:cs="宋体"/>
          <w:sz w:val="24"/>
          <w:szCs w:val="24"/>
        </w:rPr>
        <w:t xml:space="preserve"> </w:t>
      </w:r>
      <w:r>
        <w:rPr>
          <w:rFonts w:ascii="宋体" w:hAnsi="宋体" w:eastAsia="宋体" w:cs="宋体"/>
          <w:spacing w:val="-3"/>
          <w:sz w:val="24"/>
          <w:szCs w:val="24"/>
        </w:rPr>
        <w:t>能引发次生灾害的风险，应有预防技术措施。</w:t>
      </w:r>
    </w:p>
    <w:p w14:paraId="0FDDF399">
      <w:pPr>
        <w:pStyle w:val="2"/>
        <w:spacing w:before="143" w:line="225" w:lineRule="auto"/>
        <w:ind w:left="7"/>
        <w:outlineLvl w:val="1"/>
        <w:rPr>
          <w:rFonts w:ascii="宋体" w:hAnsi="宋体" w:eastAsia="宋体" w:cs="宋体"/>
          <w:sz w:val="27"/>
          <w:szCs w:val="27"/>
        </w:rPr>
      </w:pPr>
      <w:bookmarkStart w:id="96" w:name="bookmark142"/>
      <w:bookmarkEnd w:id="96"/>
      <w:r>
        <w:rPr>
          <w:b/>
          <w:bCs/>
          <w:spacing w:val="4"/>
          <w:sz w:val="27"/>
          <w:szCs w:val="27"/>
        </w:rPr>
        <w:t>6.</w:t>
      </w:r>
      <w:r>
        <w:rPr>
          <w:b/>
          <w:bCs/>
          <w:spacing w:val="-32"/>
          <w:sz w:val="27"/>
          <w:szCs w:val="27"/>
        </w:rPr>
        <w:t xml:space="preserve"> </w:t>
      </w:r>
      <w:r>
        <w:rPr>
          <w:rFonts w:ascii="宋体" w:hAnsi="宋体" w:eastAsia="宋体" w:cs="宋体"/>
          <w:b/>
          <w:bCs/>
          <w:spacing w:val="4"/>
          <w:sz w:val="27"/>
          <w:szCs w:val="27"/>
        </w:rPr>
        <w:t>《建筑机械使用安全技术规程》——</w:t>
      </w:r>
      <w:r>
        <w:rPr>
          <w:b/>
          <w:bCs/>
          <w:sz w:val="27"/>
          <w:szCs w:val="27"/>
        </w:rPr>
        <w:t>JGJ</w:t>
      </w:r>
      <w:r>
        <w:rPr>
          <w:b/>
          <w:bCs/>
          <w:spacing w:val="4"/>
          <w:sz w:val="27"/>
          <w:szCs w:val="27"/>
        </w:rPr>
        <w:t>33-2012</w:t>
      </w:r>
      <w:r>
        <w:rPr>
          <w:b/>
          <w:bCs/>
          <w:spacing w:val="-19"/>
          <w:sz w:val="27"/>
          <w:szCs w:val="27"/>
        </w:rPr>
        <w:t xml:space="preserve"> </w:t>
      </w:r>
      <w:r>
        <w:rPr>
          <w:rFonts w:ascii="宋体" w:hAnsi="宋体" w:eastAsia="宋体" w:cs="宋体"/>
          <w:b/>
          <w:bCs/>
          <w:spacing w:val="4"/>
          <w:sz w:val="27"/>
          <w:szCs w:val="27"/>
        </w:rPr>
        <w:t>【强条已废】</w:t>
      </w:r>
    </w:p>
    <w:p w14:paraId="244CE4F7">
      <w:pPr>
        <w:spacing w:before="285" w:line="220" w:lineRule="auto"/>
        <w:ind w:left="32"/>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Times New Roman" w:hAnsi="Times New Roman" w:eastAsia="Times New Roman" w:cs="Times New Roman"/>
          <w:b/>
          <w:bCs/>
          <w:color w:val="0563C1"/>
          <w:spacing w:val="-2"/>
          <w:sz w:val="24"/>
          <w:szCs w:val="24"/>
          <w:u w:val="single" w:color="auto"/>
        </w:rPr>
        <w:t xml:space="preserve">GB55029-2022 </w:t>
      </w:r>
      <w:r>
        <w:rPr>
          <w:rFonts w:ascii="宋体" w:hAnsi="宋体" w:eastAsia="宋体" w:cs="宋体"/>
          <w:b/>
          <w:bCs/>
          <w:color w:val="0563C1"/>
          <w:spacing w:val="-2"/>
          <w:sz w:val="24"/>
          <w:szCs w:val="24"/>
          <w:u w:val="single" w:color="auto"/>
        </w:rPr>
        <w:t>安全防范工程通用规</w:t>
      </w:r>
      <w:r>
        <w:rPr>
          <w:rFonts w:ascii="宋体" w:hAnsi="宋体" w:eastAsia="宋体" w:cs="宋体"/>
          <w:b/>
          <w:bCs/>
          <w:color w:val="0563C1"/>
          <w:spacing w:val="-3"/>
          <w:sz w:val="24"/>
          <w:szCs w:val="24"/>
          <w:u w:val="single" w:color="auto"/>
        </w:rPr>
        <w:t>范</w:t>
      </w:r>
      <w:r>
        <w:rPr>
          <w:rFonts w:ascii="宋体" w:hAnsi="宋体" w:eastAsia="宋体" w:cs="宋体"/>
          <w:b/>
          <w:bCs/>
          <w:color w:val="EE0000"/>
          <w:spacing w:val="-3"/>
          <w:sz w:val="24"/>
          <w:szCs w:val="24"/>
        </w:rPr>
        <w:t>》替代</w:t>
      </w:r>
    </w:p>
    <w:p w14:paraId="2C3CCB84">
      <w:pPr>
        <w:spacing w:before="155" w:line="279" w:lineRule="auto"/>
        <w:ind w:left="6" w:right="166" w:hanging="5"/>
        <w:rPr>
          <w:rFonts w:ascii="宋体" w:hAnsi="宋体" w:eastAsia="宋体" w:cs="宋体"/>
          <w:sz w:val="24"/>
          <w:szCs w:val="24"/>
        </w:rPr>
      </w:pPr>
      <w:r>
        <w:rPr>
          <w:rFonts w:ascii="Times New Roman" w:hAnsi="Times New Roman" w:eastAsia="Times New Roman" w:cs="Times New Roman"/>
          <w:strike/>
          <w:sz w:val="24"/>
          <w:szCs w:val="24"/>
        </w:rPr>
        <w:t xml:space="preserve">2.0.1    </w:t>
      </w:r>
      <w:r>
        <w:rPr>
          <w:rFonts w:ascii="宋体" w:hAnsi="宋体" w:eastAsia="宋体" w:cs="宋体"/>
          <w:strike/>
          <w:sz w:val="24"/>
          <w:szCs w:val="24"/>
        </w:rPr>
        <w:t>特种设备操作人员应经过专业培训、考核合格取得建设行政主</w:t>
      </w:r>
      <w:r>
        <w:rPr>
          <w:rFonts w:ascii="宋体" w:hAnsi="宋体" w:eastAsia="宋体" w:cs="宋体"/>
          <w:strike/>
          <w:spacing w:val="-1"/>
          <w:sz w:val="24"/>
          <w:szCs w:val="24"/>
        </w:rPr>
        <w:t>管部门颁发的操</w:t>
      </w:r>
      <w:r>
        <w:rPr>
          <w:rFonts w:ascii="宋体" w:hAnsi="宋体" w:eastAsia="宋体" w:cs="宋体"/>
          <w:sz w:val="24"/>
          <w:szCs w:val="24"/>
        </w:rPr>
        <w:t xml:space="preserve"> </w:t>
      </w:r>
      <w:r>
        <w:rPr>
          <w:rFonts w:ascii="宋体" w:hAnsi="宋体" w:eastAsia="宋体" w:cs="宋体"/>
          <w:strike/>
          <w:spacing w:val="-1"/>
          <w:sz w:val="24"/>
          <w:szCs w:val="24"/>
        </w:rPr>
        <w:t>作证，并应经过安全技术交底后持证上岗。</w:t>
      </w:r>
    </w:p>
    <w:p w14:paraId="6E495DA2">
      <w:pPr>
        <w:spacing w:before="154" w:line="279" w:lineRule="auto"/>
        <w:ind w:left="6" w:right="406" w:hanging="5"/>
        <w:rPr>
          <w:rFonts w:ascii="宋体" w:hAnsi="宋体" w:eastAsia="宋体" w:cs="宋体"/>
          <w:sz w:val="24"/>
          <w:szCs w:val="24"/>
        </w:rPr>
      </w:pPr>
      <w:r>
        <w:rPr>
          <w:rFonts w:ascii="Times New Roman" w:hAnsi="Times New Roman" w:eastAsia="Times New Roman" w:cs="Times New Roman"/>
          <w:strike/>
          <w:sz w:val="24"/>
          <w:szCs w:val="24"/>
        </w:rPr>
        <w:t xml:space="preserve">2.0.2    </w:t>
      </w:r>
      <w:r>
        <w:rPr>
          <w:rFonts w:ascii="宋体" w:hAnsi="宋体" w:eastAsia="宋体" w:cs="宋体"/>
          <w:strike/>
          <w:sz w:val="24"/>
          <w:szCs w:val="24"/>
        </w:rPr>
        <w:t>机械必须按出厂使用说明书规定的技术性能、承载能力和使</w:t>
      </w:r>
      <w:r>
        <w:rPr>
          <w:rFonts w:ascii="宋体" w:hAnsi="宋体" w:eastAsia="宋体" w:cs="宋体"/>
          <w:strike/>
          <w:spacing w:val="-1"/>
          <w:sz w:val="24"/>
          <w:szCs w:val="24"/>
        </w:rPr>
        <w:t>用条件，正确操</w:t>
      </w:r>
      <w:r>
        <w:rPr>
          <w:rFonts w:ascii="宋体" w:hAnsi="宋体" w:eastAsia="宋体" w:cs="宋体"/>
          <w:sz w:val="24"/>
          <w:szCs w:val="24"/>
        </w:rPr>
        <w:t xml:space="preserve"> </w:t>
      </w:r>
      <w:r>
        <w:rPr>
          <w:rFonts w:ascii="宋体" w:hAnsi="宋体" w:eastAsia="宋体" w:cs="宋体"/>
          <w:strike/>
          <w:spacing w:val="-1"/>
          <w:sz w:val="24"/>
          <w:szCs w:val="24"/>
        </w:rPr>
        <w:t>作，合理使用，严禁超载、超速作业或任意扩大适用范围。</w:t>
      </w:r>
    </w:p>
    <w:p w14:paraId="0B9198AD">
      <w:pPr>
        <w:spacing w:before="155" w:line="219"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2.0.3    </w:t>
      </w:r>
      <w:r>
        <w:rPr>
          <w:rFonts w:ascii="宋体" w:hAnsi="宋体" w:eastAsia="宋体" w:cs="宋体"/>
          <w:strike/>
          <w:sz w:val="24"/>
          <w:szCs w:val="24"/>
        </w:rPr>
        <w:t>机械上的各种安全防护和保险装置及各种安全信息装置必</w:t>
      </w:r>
      <w:r>
        <w:rPr>
          <w:rFonts w:ascii="宋体" w:hAnsi="宋体" w:eastAsia="宋体" w:cs="宋体"/>
          <w:strike/>
          <w:spacing w:val="-1"/>
          <w:sz w:val="24"/>
          <w:szCs w:val="24"/>
        </w:rPr>
        <w:t>须齐全有效。</w:t>
      </w:r>
    </w:p>
    <w:p w14:paraId="4E3801A3">
      <w:pPr>
        <w:spacing w:before="154" w:line="279" w:lineRule="auto"/>
        <w:ind w:left="4" w:right="46" w:hanging="3"/>
        <w:rPr>
          <w:rFonts w:ascii="宋体" w:hAnsi="宋体" w:eastAsia="宋体" w:cs="宋体"/>
          <w:sz w:val="24"/>
          <w:szCs w:val="24"/>
        </w:rPr>
      </w:pPr>
      <w:r>
        <w:rPr>
          <w:rFonts w:ascii="Times New Roman" w:hAnsi="Times New Roman" w:eastAsia="Times New Roman" w:cs="Times New Roman"/>
          <w:strike/>
          <w:sz w:val="24"/>
          <w:szCs w:val="24"/>
        </w:rPr>
        <w:t xml:space="preserve">2.0.21    </w:t>
      </w:r>
      <w:r>
        <w:rPr>
          <w:rFonts w:ascii="宋体" w:hAnsi="宋体" w:eastAsia="宋体" w:cs="宋体"/>
          <w:strike/>
          <w:sz w:val="24"/>
          <w:szCs w:val="24"/>
        </w:rPr>
        <w:t>清洁、保养、维修机械或电气装置前，必须先切断电源，等机</w:t>
      </w:r>
      <w:r>
        <w:rPr>
          <w:rFonts w:ascii="宋体" w:hAnsi="宋体" w:eastAsia="宋体" w:cs="宋体"/>
          <w:strike/>
          <w:spacing w:val="-1"/>
          <w:sz w:val="24"/>
          <w:szCs w:val="24"/>
        </w:rPr>
        <w:t>械停稳后在进行</w:t>
      </w:r>
      <w:r>
        <w:rPr>
          <w:rFonts w:ascii="宋体" w:hAnsi="宋体" w:eastAsia="宋体" w:cs="宋体"/>
          <w:sz w:val="24"/>
          <w:szCs w:val="24"/>
        </w:rPr>
        <w:t xml:space="preserve"> </w:t>
      </w:r>
      <w:r>
        <w:rPr>
          <w:rFonts w:ascii="宋体" w:hAnsi="宋体" w:eastAsia="宋体" w:cs="宋体"/>
          <w:strike/>
          <w:spacing w:val="-1"/>
          <w:sz w:val="24"/>
          <w:szCs w:val="24"/>
        </w:rPr>
        <w:t>操作。严禁带电或采用预约停送电时间的方式进行检修。</w:t>
      </w:r>
    </w:p>
    <w:p w14:paraId="5A39767D">
      <w:pPr>
        <w:spacing w:before="158" w:line="298" w:lineRule="auto"/>
        <w:ind w:left="5" w:right="55" w:hanging="5"/>
        <w:rPr>
          <w:rFonts w:ascii="宋体" w:hAnsi="宋体" w:eastAsia="宋体" w:cs="宋体"/>
          <w:sz w:val="24"/>
          <w:szCs w:val="24"/>
        </w:rPr>
      </w:pPr>
      <w:r>
        <w:rPr>
          <w:rFonts w:ascii="Times New Roman" w:hAnsi="Times New Roman" w:eastAsia="Times New Roman" w:cs="Times New Roman"/>
          <w:strike/>
          <w:sz w:val="24"/>
          <w:szCs w:val="24"/>
        </w:rPr>
        <w:t xml:space="preserve">4.1.11    </w:t>
      </w:r>
      <w:r>
        <w:rPr>
          <w:rFonts w:ascii="宋体" w:hAnsi="宋体" w:eastAsia="宋体" w:cs="宋体"/>
          <w:strike/>
          <w:sz w:val="24"/>
          <w:szCs w:val="24"/>
        </w:rPr>
        <w:t>建筑起重机械的变幅限位器、力矩限位器、起</w:t>
      </w:r>
      <w:r>
        <w:rPr>
          <w:rFonts w:ascii="宋体" w:hAnsi="宋体" w:eastAsia="宋体" w:cs="宋体"/>
          <w:strike/>
          <w:spacing w:val="-1"/>
          <w:sz w:val="24"/>
          <w:szCs w:val="24"/>
        </w:rPr>
        <w:t>重量限制器、防坠安全器、钢丝</w:t>
      </w:r>
      <w:r>
        <w:rPr>
          <w:rFonts w:ascii="宋体" w:hAnsi="宋体" w:eastAsia="宋体" w:cs="宋体"/>
          <w:sz w:val="24"/>
          <w:szCs w:val="24"/>
        </w:rPr>
        <w:t xml:space="preserve"> </w:t>
      </w:r>
      <w:r>
        <w:rPr>
          <w:rFonts w:ascii="宋体" w:hAnsi="宋体" w:eastAsia="宋体" w:cs="宋体"/>
          <w:strike/>
          <w:sz w:val="24"/>
          <w:szCs w:val="24"/>
        </w:rPr>
        <w:t>绳防脱装置、防脱钩装置以及各种行程限位开关等安全保护</w:t>
      </w:r>
      <w:r>
        <w:rPr>
          <w:rFonts w:ascii="宋体" w:hAnsi="宋体" w:eastAsia="宋体" w:cs="宋体"/>
          <w:strike/>
          <w:spacing w:val="-1"/>
          <w:sz w:val="24"/>
          <w:szCs w:val="24"/>
        </w:rPr>
        <w:t>装置，必须齐全有效，严</w:t>
      </w:r>
      <w:r>
        <w:rPr>
          <w:rFonts w:ascii="宋体" w:hAnsi="宋体" w:eastAsia="宋体" w:cs="宋体"/>
          <w:sz w:val="24"/>
          <w:szCs w:val="24"/>
        </w:rPr>
        <w:t xml:space="preserve">  </w:t>
      </w:r>
      <w:r>
        <w:rPr>
          <w:rFonts w:ascii="宋体" w:hAnsi="宋体" w:eastAsia="宋体" w:cs="宋体"/>
          <w:strike/>
          <w:spacing w:val="-1"/>
          <w:sz w:val="24"/>
          <w:szCs w:val="24"/>
        </w:rPr>
        <w:t>禁随意调整或拆除。严禁利用限制器和限位装置代替操纵机构。</w:t>
      </w:r>
    </w:p>
    <w:p w14:paraId="4114F959">
      <w:pPr>
        <w:spacing w:before="157" w:line="278" w:lineRule="auto"/>
        <w:ind w:left="6" w:hanging="6"/>
        <w:rPr>
          <w:rFonts w:ascii="宋体" w:hAnsi="宋体" w:eastAsia="宋体" w:cs="宋体"/>
          <w:sz w:val="24"/>
          <w:szCs w:val="24"/>
        </w:rPr>
      </w:pPr>
      <w:r>
        <w:rPr>
          <w:rFonts w:ascii="Times New Roman" w:hAnsi="Times New Roman" w:eastAsia="Times New Roman" w:cs="Times New Roman"/>
          <w:strike/>
          <w:sz w:val="24"/>
          <w:szCs w:val="24"/>
        </w:rPr>
        <w:t xml:space="preserve">4.1.14    </w:t>
      </w:r>
      <w:r>
        <w:rPr>
          <w:rFonts w:ascii="宋体" w:hAnsi="宋体" w:eastAsia="宋体" w:cs="宋体"/>
          <w:strike/>
          <w:sz w:val="24"/>
          <w:szCs w:val="24"/>
        </w:rPr>
        <w:t>在风速达到</w:t>
      </w:r>
      <w:r>
        <w:rPr>
          <w:rFonts w:ascii="宋体" w:hAnsi="宋体" w:eastAsia="宋体" w:cs="宋体"/>
          <w:strike/>
          <w:spacing w:val="-50"/>
          <w:sz w:val="24"/>
          <w:szCs w:val="24"/>
        </w:rPr>
        <w:t xml:space="preserve"> </w:t>
      </w:r>
      <w:r>
        <w:rPr>
          <w:rFonts w:ascii="Times New Roman" w:hAnsi="Times New Roman" w:eastAsia="Times New Roman" w:cs="Times New Roman"/>
          <w:strike/>
          <w:sz w:val="24"/>
          <w:szCs w:val="24"/>
        </w:rPr>
        <w:t>9</w:t>
      </w:r>
      <w:r>
        <w:rPr>
          <w:rFonts w:ascii="Times New Roman" w:hAnsi="Times New Roman" w:eastAsia="Times New Roman" w:cs="Times New Roman"/>
          <w:sz w:val="24"/>
          <w:szCs w:val="24"/>
        </w:rPr>
        <w:t>.</w:t>
      </w:r>
      <w:r>
        <w:rPr>
          <w:rFonts w:ascii="Times New Roman" w:hAnsi="Times New Roman" w:eastAsia="Times New Roman" w:cs="Times New Roman"/>
          <w:strike/>
          <w:sz w:val="24"/>
          <w:szCs w:val="24"/>
        </w:rPr>
        <w:t xml:space="preserve">0m/s </w:t>
      </w:r>
      <w:r>
        <w:rPr>
          <w:rFonts w:ascii="宋体" w:hAnsi="宋体" w:eastAsia="宋体" w:cs="宋体"/>
          <w:strike/>
          <w:sz w:val="24"/>
          <w:szCs w:val="24"/>
        </w:rPr>
        <w:t>及以上或大雨、大雪、大</w:t>
      </w:r>
      <w:r>
        <w:rPr>
          <w:rFonts w:ascii="宋体" w:hAnsi="宋体" w:eastAsia="宋体" w:cs="宋体"/>
          <w:strike/>
          <w:spacing w:val="-1"/>
          <w:sz w:val="24"/>
          <w:szCs w:val="24"/>
        </w:rPr>
        <w:t>雾等恶劣天气时，严禁进行建筑起</w:t>
      </w:r>
      <w:r>
        <w:rPr>
          <w:rFonts w:ascii="宋体" w:hAnsi="宋体" w:eastAsia="宋体" w:cs="宋体"/>
          <w:sz w:val="24"/>
          <w:szCs w:val="24"/>
        </w:rPr>
        <w:t xml:space="preserve"> </w:t>
      </w:r>
      <w:r>
        <w:rPr>
          <w:rFonts w:ascii="宋体" w:hAnsi="宋体" w:eastAsia="宋体" w:cs="宋体"/>
          <w:strike/>
          <w:spacing w:val="-1"/>
          <w:sz w:val="24"/>
          <w:szCs w:val="24"/>
        </w:rPr>
        <w:t>重机械的安装拆卸作业。</w:t>
      </w:r>
    </w:p>
    <w:p w14:paraId="2B101513">
      <w:pPr>
        <w:spacing w:before="155" w:line="279" w:lineRule="auto"/>
        <w:ind w:left="8" w:right="166" w:hanging="9"/>
        <w:rPr>
          <w:rFonts w:ascii="宋体" w:hAnsi="宋体" w:eastAsia="宋体" w:cs="宋体"/>
          <w:sz w:val="24"/>
          <w:szCs w:val="24"/>
        </w:rPr>
      </w:pPr>
      <w:r>
        <w:rPr>
          <w:rFonts w:ascii="Times New Roman" w:hAnsi="Times New Roman" w:eastAsia="Times New Roman" w:cs="Times New Roman"/>
          <w:strike/>
          <w:sz w:val="24"/>
          <w:szCs w:val="24"/>
        </w:rPr>
        <w:t xml:space="preserve">4.5.2    </w:t>
      </w:r>
      <w:r>
        <w:rPr>
          <w:rFonts w:ascii="宋体" w:hAnsi="宋体" w:eastAsia="宋体" w:cs="宋体"/>
          <w:strike/>
          <w:sz w:val="24"/>
          <w:szCs w:val="24"/>
        </w:rPr>
        <w:t>桅杆式起重机专项方案必须按规定程序审批，并经专家论证后实施</w:t>
      </w:r>
      <w:r>
        <w:rPr>
          <w:rFonts w:ascii="宋体" w:hAnsi="宋体" w:eastAsia="宋体" w:cs="宋体"/>
          <w:strike/>
          <w:spacing w:val="-1"/>
          <w:sz w:val="24"/>
          <w:szCs w:val="24"/>
        </w:rPr>
        <w:t>。施工单位</w:t>
      </w:r>
      <w:r>
        <w:rPr>
          <w:rFonts w:ascii="宋体" w:hAnsi="宋体" w:eastAsia="宋体" w:cs="宋体"/>
          <w:sz w:val="24"/>
          <w:szCs w:val="24"/>
        </w:rPr>
        <w:t xml:space="preserve"> </w:t>
      </w:r>
      <w:r>
        <w:rPr>
          <w:rFonts w:ascii="宋体" w:hAnsi="宋体" w:eastAsia="宋体" w:cs="宋体"/>
          <w:strike/>
          <w:sz w:val="24"/>
          <w:szCs w:val="24"/>
        </w:rPr>
        <w:t>必须指定安全技术人员对桅杆式起重机的安装、使</w:t>
      </w:r>
      <w:r>
        <w:rPr>
          <w:rFonts w:ascii="宋体" w:hAnsi="宋体" w:eastAsia="宋体" w:cs="宋体"/>
          <w:strike/>
          <w:spacing w:val="-1"/>
          <w:sz w:val="24"/>
          <w:szCs w:val="24"/>
        </w:rPr>
        <w:t>用和拆卸进行现场监督和监测。</w:t>
      </w:r>
    </w:p>
    <w:p w14:paraId="7CE9DD4C">
      <w:pPr>
        <w:spacing w:before="155" w:line="279" w:lineRule="auto"/>
        <w:ind w:left="10" w:right="166" w:hanging="3"/>
        <w:rPr>
          <w:rFonts w:ascii="宋体" w:hAnsi="宋体" w:eastAsia="宋体" w:cs="宋体"/>
          <w:sz w:val="24"/>
          <w:szCs w:val="24"/>
        </w:rPr>
      </w:pPr>
      <w:r>
        <w:rPr>
          <w:rFonts w:ascii="Times New Roman" w:hAnsi="Times New Roman" w:eastAsia="Times New Roman" w:cs="Times New Roman"/>
          <w:strike/>
          <w:sz w:val="24"/>
          <w:szCs w:val="24"/>
        </w:rPr>
        <w:t xml:space="preserve">5.1.4    </w:t>
      </w:r>
      <w:r>
        <w:rPr>
          <w:rFonts w:ascii="宋体" w:hAnsi="宋体" w:eastAsia="宋体" w:cs="宋体"/>
          <w:strike/>
          <w:sz w:val="24"/>
          <w:szCs w:val="24"/>
        </w:rPr>
        <w:t>作业前，必须查明施工场地内明、暗铺设的各类</w:t>
      </w:r>
      <w:r>
        <w:rPr>
          <w:rFonts w:ascii="宋体" w:hAnsi="宋体" w:eastAsia="宋体" w:cs="宋体"/>
          <w:strike/>
          <w:spacing w:val="-1"/>
          <w:sz w:val="24"/>
          <w:szCs w:val="24"/>
        </w:rPr>
        <w:t>管线等设施，并应采用明显记</w:t>
      </w:r>
      <w:r>
        <w:rPr>
          <w:rFonts w:ascii="宋体" w:hAnsi="宋体" w:eastAsia="宋体" w:cs="宋体"/>
          <w:sz w:val="24"/>
          <w:szCs w:val="24"/>
        </w:rPr>
        <w:t xml:space="preserve"> </w:t>
      </w:r>
      <w:r>
        <w:rPr>
          <w:rFonts w:ascii="宋体" w:hAnsi="宋体" w:eastAsia="宋体" w:cs="宋体"/>
          <w:strike/>
          <w:spacing w:val="-1"/>
          <w:sz w:val="24"/>
          <w:szCs w:val="24"/>
        </w:rPr>
        <w:t>号标识。严禁在离地下管线、承压管道</w:t>
      </w:r>
      <w:r>
        <w:rPr>
          <w:rFonts w:ascii="宋体" w:hAnsi="宋体" w:eastAsia="宋体" w:cs="宋体"/>
          <w:strike/>
          <w:spacing w:val="-32"/>
          <w:sz w:val="24"/>
          <w:szCs w:val="24"/>
        </w:rPr>
        <w:t xml:space="preserve"> </w:t>
      </w:r>
      <w:r>
        <w:rPr>
          <w:rFonts w:ascii="Times New Roman" w:hAnsi="Times New Roman" w:eastAsia="Times New Roman" w:cs="Times New Roman"/>
          <w:strike/>
          <w:spacing w:val="-1"/>
          <w:sz w:val="24"/>
          <w:szCs w:val="24"/>
        </w:rPr>
        <w:t xml:space="preserve">1m </w:t>
      </w:r>
      <w:r>
        <w:rPr>
          <w:rFonts w:ascii="宋体" w:hAnsi="宋体" w:eastAsia="宋体" w:cs="宋体"/>
          <w:strike/>
          <w:spacing w:val="-1"/>
          <w:sz w:val="24"/>
          <w:szCs w:val="24"/>
        </w:rPr>
        <w:t>距</w:t>
      </w:r>
      <w:r>
        <w:rPr>
          <w:rFonts w:ascii="宋体" w:hAnsi="宋体" w:eastAsia="宋体" w:cs="宋体"/>
          <w:strike/>
          <w:spacing w:val="-2"/>
          <w:sz w:val="24"/>
          <w:szCs w:val="24"/>
        </w:rPr>
        <w:t>离内进行大型机械作业。</w:t>
      </w:r>
    </w:p>
    <w:p w14:paraId="718FAC92">
      <w:pPr>
        <w:spacing w:before="156" w:line="278" w:lineRule="auto"/>
        <w:ind w:left="31" w:right="46" w:hanging="24"/>
        <w:rPr>
          <w:rFonts w:ascii="宋体" w:hAnsi="宋体" w:eastAsia="宋体" w:cs="宋体"/>
          <w:sz w:val="24"/>
          <w:szCs w:val="24"/>
        </w:rPr>
      </w:pPr>
      <w:r>
        <w:rPr>
          <w:rFonts w:ascii="Times New Roman" w:hAnsi="Times New Roman" w:eastAsia="Times New Roman" w:cs="Times New Roman"/>
          <w:strike/>
          <w:sz w:val="24"/>
          <w:szCs w:val="24"/>
        </w:rPr>
        <w:t xml:space="preserve">5.1.10    </w:t>
      </w:r>
      <w:r>
        <w:rPr>
          <w:rFonts w:ascii="宋体" w:hAnsi="宋体" w:eastAsia="宋体" w:cs="宋体"/>
          <w:strike/>
          <w:sz w:val="24"/>
          <w:szCs w:val="24"/>
        </w:rPr>
        <w:t>机械回转作业时，配合人员必须在机械回转半径</w:t>
      </w:r>
      <w:r>
        <w:rPr>
          <w:rFonts w:ascii="宋体" w:hAnsi="宋体" w:eastAsia="宋体" w:cs="宋体"/>
          <w:strike/>
          <w:spacing w:val="-1"/>
          <w:sz w:val="24"/>
          <w:szCs w:val="24"/>
        </w:rPr>
        <w:t>以外工作。当需要在回转半径</w:t>
      </w:r>
      <w:r>
        <w:rPr>
          <w:rFonts w:ascii="宋体" w:hAnsi="宋体" w:eastAsia="宋体" w:cs="宋体"/>
          <w:sz w:val="24"/>
          <w:szCs w:val="24"/>
        </w:rPr>
        <w:t xml:space="preserve"> </w:t>
      </w:r>
      <w:r>
        <w:rPr>
          <w:rFonts w:ascii="宋体" w:hAnsi="宋体" w:eastAsia="宋体" w:cs="宋体"/>
          <w:strike/>
          <w:spacing w:val="-2"/>
          <w:sz w:val="24"/>
          <w:szCs w:val="24"/>
        </w:rPr>
        <w:t>以内工作时，必须将机械停止回转并制动。</w:t>
      </w:r>
    </w:p>
    <w:p w14:paraId="155BA1A9">
      <w:pPr>
        <w:spacing w:before="156"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5.5.6    </w:t>
      </w:r>
      <w:r>
        <w:rPr>
          <w:rFonts w:ascii="宋体" w:hAnsi="宋体" w:eastAsia="宋体" w:cs="宋体"/>
          <w:strike/>
          <w:sz w:val="24"/>
          <w:szCs w:val="24"/>
        </w:rPr>
        <w:t>作业中，严禁人员上下机械，传递物件，以及在</w:t>
      </w:r>
      <w:r>
        <w:rPr>
          <w:rFonts w:ascii="宋体" w:hAnsi="宋体" w:eastAsia="宋体" w:cs="宋体"/>
          <w:strike/>
          <w:spacing w:val="-1"/>
          <w:sz w:val="24"/>
          <w:szCs w:val="24"/>
        </w:rPr>
        <w:t>铲斗内、拖把或机架上坐立。</w:t>
      </w:r>
    </w:p>
    <w:p w14:paraId="1A0BE956">
      <w:pPr>
        <w:spacing w:before="156" w:line="219"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5.10.20    </w:t>
      </w:r>
      <w:r>
        <w:rPr>
          <w:rFonts w:ascii="宋体" w:hAnsi="宋体" w:eastAsia="宋体" w:cs="宋体"/>
          <w:strike/>
          <w:sz w:val="24"/>
          <w:szCs w:val="24"/>
        </w:rPr>
        <w:t>装载机转向架未锁闭时，严禁站在</w:t>
      </w:r>
      <w:r>
        <w:rPr>
          <w:rFonts w:ascii="宋体" w:hAnsi="宋体" w:eastAsia="宋体" w:cs="宋体"/>
          <w:strike/>
          <w:spacing w:val="-1"/>
          <w:sz w:val="24"/>
          <w:szCs w:val="24"/>
        </w:rPr>
        <w:t>前后车架之间进行检修保养。</w:t>
      </w:r>
    </w:p>
    <w:p w14:paraId="0646B109">
      <w:pPr>
        <w:spacing w:before="155" w:line="279" w:lineRule="auto"/>
        <w:ind w:left="7" w:right="46"/>
        <w:rPr>
          <w:rFonts w:ascii="宋体" w:hAnsi="宋体" w:eastAsia="宋体" w:cs="宋体"/>
          <w:sz w:val="24"/>
          <w:szCs w:val="24"/>
        </w:rPr>
      </w:pPr>
      <w:r>
        <w:rPr>
          <w:rFonts w:ascii="Times New Roman" w:hAnsi="Times New Roman" w:eastAsia="Times New Roman" w:cs="Times New Roman"/>
          <w:strike/>
          <w:sz w:val="24"/>
          <w:szCs w:val="24"/>
        </w:rPr>
        <w:t xml:space="preserve">5.13.7    </w:t>
      </w:r>
      <w:r>
        <w:rPr>
          <w:rFonts w:ascii="宋体" w:hAnsi="宋体" w:eastAsia="宋体" w:cs="宋体"/>
          <w:strike/>
          <w:sz w:val="24"/>
          <w:szCs w:val="24"/>
        </w:rPr>
        <w:t>夯锤下落后，在吊钩尚未降至夯锤吊环附近前，</w:t>
      </w:r>
      <w:r>
        <w:rPr>
          <w:rFonts w:ascii="宋体" w:hAnsi="宋体" w:eastAsia="宋体" w:cs="宋体"/>
          <w:strike/>
          <w:spacing w:val="-1"/>
          <w:sz w:val="24"/>
          <w:szCs w:val="24"/>
        </w:rPr>
        <w:t>操作人员严禁提前下坑挂钩。</w:t>
      </w:r>
      <w:r>
        <w:rPr>
          <w:rFonts w:ascii="宋体" w:hAnsi="宋体" w:eastAsia="宋体" w:cs="宋体"/>
          <w:sz w:val="24"/>
          <w:szCs w:val="24"/>
        </w:rPr>
        <w:t xml:space="preserve"> </w:t>
      </w:r>
      <w:r>
        <w:rPr>
          <w:rFonts w:ascii="宋体" w:hAnsi="宋体" w:eastAsia="宋体" w:cs="宋体"/>
          <w:strike/>
          <w:spacing w:val="-1"/>
          <w:sz w:val="24"/>
          <w:szCs w:val="24"/>
        </w:rPr>
        <w:t>从坑中提锤时，严禁挂钩人员站在锤上随锤提升。</w:t>
      </w:r>
    </w:p>
    <w:p w14:paraId="018A01F9">
      <w:pPr>
        <w:spacing w:before="154" w:line="279" w:lineRule="auto"/>
        <w:ind w:left="5" w:right="166" w:firstLine="5"/>
        <w:rPr>
          <w:rFonts w:ascii="宋体" w:hAnsi="宋体" w:eastAsia="宋体" w:cs="宋体"/>
          <w:sz w:val="24"/>
          <w:szCs w:val="24"/>
        </w:rPr>
      </w:pPr>
      <w:r>
        <w:rPr>
          <w:rFonts w:ascii="Times New Roman" w:hAnsi="Times New Roman" w:eastAsia="Times New Roman" w:cs="Times New Roman"/>
          <w:strike/>
          <w:sz w:val="24"/>
          <w:szCs w:val="24"/>
        </w:rPr>
        <w:t xml:space="preserve">8.2.7    </w:t>
      </w:r>
      <w:r>
        <w:rPr>
          <w:rFonts w:ascii="宋体" w:hAnsi="宋体" w:eastAsia="宋体" w:cs="宋体"/>
          <w:strike/>
          <w:sz w:val="24"/>
          <w:szCs w:val="24"/>
        </w:rPr>
        <w:t>料斗提升时，人员严禁在料斗下停留或通</w:t>
      </w:r>
      <w:r>
        <w:rPr>
          <w:rFonts w:ascii="宋体" w:hAnsi="宋体" w:eastAsia="宋体" w:cs="宋体"/>
          <w:strike/>
          <w:spacing w:val="-1"/>
          <w:sz w:val="24"/>
          <w:szCs w:val="24"/>
        </w:rPr>
        <w:t>过；当需要在料斗下方进行清理或检</w:t>
      </w:r>
      <w:r>
        <w:rPr>
          <w:rFonts w:ascii="宋体" w:hAnsi="宋体" w:eastAsia="宋体" w:cs="宋体"/>
          <w:sz w:val="24"/>
          <w:szCs w:val="24"/>
        </w:rPr>
        <w:t xml:space="preserve"> </w:t>
      </w:r>
      <w:r>
        <w:rPr>
          <w:rFonts w:ascii="宋体" w:hAnsi="宋体" w:eastAsia="宋体" w:cs="宋体"/>
          <w:strike/>
          <w:sz w:val="24"/>
          <w:szCs w:val="24"/>
        </w:rPr>
        <w:t>修时，应将料斗提升至上止点，并必须用保险</w:t>
      </w:r>
      <w:r>
        <w:rPr>
          <w:rFonts w:ascii="宋体" w:hAnsi="宋体" w:eastAsia="宋体" w:cs="宋体"/>
          <w:strike/>
          <w:spacing w:val="-1"/>
          <w:sz w:val="24"/>
          <w:szCs w:val="24"/>
        </w:rPr>
        <w:t>销锁牢或用保险链挂牢。</w:t>
      </w:r>
    </w:p>
    <w:p w14:paraId="1B61BB55">
      <w:pPr>
        <w:spacing w:before="155" w:line="219" w:lineRule="auto"/>
        <w:ind w:left="24"/>
        <w:rPr>
          <w:rFonts w:ascii="宋体" w:hAnsi="宋体" w:eastAsia="宋体" w:cs="宋体"/>
          <w:sz w:val="24"/>
          <w:szCs w:val="24"/>
        </w:rPr>
      </w:pPr>
      <w:r>
        <w:rPr>
          <w:rFonts w:ascii="Times New Roman" w:hAnsi="Times New Roman" w:eastAsia="Times New Roman" w:cs="Times New Roman"/>
          <w:strike/>
          <w:spacing w:val="-1"/>
          <w:sz w:val="24"/>
          <w:szCs w:val="24"/>
        </w:rPr>
        <w:t xml:space="preserve">10.3.1    </w:t>
      </w:r>
      <w:r>
        <w:rPr>
          <w:rFonts w:ascii="宋体" w:hAnsi="宋体" w:eastAsia="宋体" w:cs="宋体"/>
          <w:strike/>
          <w:spacing w:val="-1"/>
          <w:sz w:val="24"/>
          <w:szCs w:val="24"/>
        </w:rPr>
        <w:t>木工圆锯机上的旋转锯片必须设置防护罩。</w:t>
      </w:r>
    </w:p>
    <w:p w14:paraId="35E800B8">
      <w:pPr>
        <w:spacing w:before="156" w:line="278" w:lineRule="auto"/>
        <w:ind w:left="5" w:right="46" w:firstLine="18"/>
        <w:rPr>
          <w:rFonts w:ascii="宋体" w:hAnsi="宋体" w:eastAsia="宋体" w:cs="宋体"/>
          <w:sz w:val="24"/>
          <w:szCs w:val="24"/>
        </w:rPr>
      </w:pPr>
      <w:r>
        <w:rPr>
          <w:rFonts w:ascii="Times New Roman" w:hAnsi="Times New Roman" w:eastAsia="Times New Roman" w:cs="Times New Roman"/>
          <w:strike/>
          <w:spacing w:val="-1"/>
          <w:sz w:val="24"/>
          <w:szCs w:val="24"/>
        </w:rPr>
        <w:t xml:space="preserve">12.1.4    </w:t>
      </w:r>
      <w:r>
        <w:rPr>
          <w:rFonts w:ascii="宋体" w:hAnsi="宋体" w:eastAsia="宋体" w:cs="宋体"/>
          <w:strike/>
          <w:spacing w:val="-1"/>
          <w:sz w:val="24"/>
          <w:szCs w:val="24"/>
        </w:rPr>
        <w:t>焊割现场及高温焊割作业下方，严禁堆放油类、木材、氧气瓶、乙炔瓶、保温</w:t>
      </w:r>
      <w:r>
        <w:rPr>
          <w:rFonts w:ascii="宋体" w:hAnsi="宋体" w:eastAsia="宋体" w:cs="宋体"/>
          <w:spacing w:val="14"/>
          <w:sz w:val="24"/>
          <w:szCs w:val="24"/>
        </w:rPr>
        <w:t xml:space="preserve"> </w:t>
      </w:r>
      <w:r>
        <w:rPr>
          <w:rFonts w:ascii="宋体" w:hAnsi="宋体" w:eastAsia="宋体" w:cs="宋体"/>
          <w:strike/>
          <w:spacing w:val="-1"/>
          <w:sz w:val="24"/>
          <w:szCs w:val="24"/>
        </w:rPr>
        <w:t>材料等易燃、易爆物品。</w:t>
      </w:r>
    </w:p>
    <w:p w14:paraId="37FE9729">
      <w:pPr>
        <w:spacing w:line="278" w:lineRule="auto"/>
        <w:rPr>
          <w:rFonts w:ascii="宋体" w:hAnsi="宋体" w:eastAsia="宋体" w:cs="宋体"/>
          <w:sz w:val="24"/>
          <w:szCs w:val="24"/>
        </w:rPr>
        <w:sectPr>
          <w:footerReference r:id="rId73" w:type="default"/>
          <w:pgSz w:w="11907" w:h="16839"/>
          <w:pgMar w:top="400" w:right="1442" w:bottom="743" w:left="1421" w:header="0" w:footer="582" w:gutter="0"/>
          <w:cols w:space="720" w:num="1"/>
        </w:sectPr>
      </w:pPr>
    </w:p>
    <w:p w14:paraId="0B1B46CA">
      <w:pPr>
        <w:pStyle w:val="2"/>
        <w:spacing w:line="303" w:lineRule="auto"/>
      </w:pPr>
    </w:p>
    <w:p w14:paraId="0B6EA218">
      <w:pPr>
        <w:pStyle w:val="2"/>
        <w:spacing w:line="303" w:lineRule="auto"/>
      </w:pPr>
    </w:p>
    <w:p w14:paraId="615FD787">
      <w:pPr>
        <w:pStyle w:val="2"/>
        <w:spacing w:line="304" w:lineRule="auto"/>
      </w:pPr>
    </w:p>
    <w:p w14:paraId="0D15BD94">
      <w:pPr>
        <w:spacing w:before="78" w:line="341" w:lineRule="auto"/>
        <w:ind w:left="4" w:firstLine="19"/>
        <w:rPr>
          <w:rFonts w:ascii="宋体" w:hAnsi="宋体" w:eastAsia="宋体" w:cs="宋体"/>
          <w:sz w:val="24"/>
          <w:szCs w:val="24"/>
        </w:rPr>
      </w:pPr>
      <w:r>
        <w:rPr>
          <w:rFonts w:ascii="Times New Roman" w:hAnsi="Times New Roman" w:eastAsia="Times New Roman" w:cs="Times New Roman"/>
          <w:strike/>
          <w:spacing w:val="-1"/>
          <w:sz w:val="24"/>
          <w:szCs w:val="24"/>
        </w:rPr>
        <w:t xml:space="preserve">12.1.9    </w:t>
      </w:r>
      <w:r>
        <w:rPr>
          <w:rFonts w:ascii="宋体" w:hAnsi="宋体" w:eastAsia="宋体" w:cs="宋体"/>
          <w:strike/>
          <w:spacing w:val="-1"/>
          <w:sz w:val="24"/>
          <w:szCs w:val="24"/>
        </w:rPr>
        <w:t>对承压状态的压力容器和装有剧毒、易燃、易爆物品的容器，严禁进行焊接或</w:t>
      </w:r>
      <w:r>
        <w:rPr>
          <w:rFonts w:ascii="宋体" w:hAnsi="宋体" w:eastAsia="宋体" w:cs="宋体"/>
          <w:spacing w:val="14"/>
          <w:sz w:val="24"/>
          <w:szCs w:val="24"/>
        </w:rPr>
        <w:t xml:space="preserve"> </w:t>
      </w:r>
      <w:r>
        <w:rPr>
          <w:rFonts w:ascii="宋体" w:hAnsi="宋体" w:eastAsia="宋体" w:cs="宋体"/>
          <w:strike/>
          <w:spacing w:val="-2"/>
          <w:sz w:val="24"/>
          <w:szCs w:val="24"/>
        </w:rPr>
        <w:t>切割作业。</w:t>
      </w:r>
    </w:p>
    <w:p w14:paraId="51B8D292">
      <w:pPr>
        <w:pStyle w:val="2"/>
        <w:spacing w:before="140" w:line="226" w:lineRule="auto"/>
        <w:ind w:left="7"/>
        <w:outlineLvl w:val="1"/>
        <w:rPr>
          <w:rFonts w:ascii="宋体" w:hAnsi="宋体" w:eastAsia="宋体" w:cs="宋体"/>
          <w:sz w:val="27"/>
          <w:szCs w:val="27"/>
        </w:rPr>
      </w:pPr>
      <w:bookmarkStart w:id="97" w:name="bookmark143"/>
      <w:bookmarkEnd w:id="97"/>
      <w:r>
        <w:rPr>
          <w:b/>
          <w:bCs/>
          <w:spacing w:val="4"/>
          <w:sz w:val="27"/>
          <w:szCs w:val="27"/>
        </w:rPr>
        <w:t>7.</w:t>
      </w:r>
      <w:r>
        <w:rPr>
          <w:b/>
          <w:bCs/>
          <w:spacing w:val="-46"/>
          <w:sz w:val="27"/>
          <w:szCs w:val="27"/>
        </w:rPr>
        <w:t xml:space="preserve"> </w:t>
      </w:r>
      <w:r>
        <w:rPr>
          <w:rFonts w:ascii="宋体" w:hAnsi="宋体" w:eastAsia="宋体" w:cs="宋体"/>
          <w:b/>
          <w:bCs/>
          <w:spacing w:val="4"/>
          <w:sz w:val="27"/>
          <w:szCs w:val="27"/>
        </w:rPr>
        <w:t>《建筑施工安全检查标准》</w:t>
      </w:r>
      <w:r>
        <w:rPr>
          <w:rFonts w:ascii="宋体" w:hAnsi="宋体" w:eastAsia="宋体" w:cs="宋体"/>
          <w:spacing w:val="-79"/>
          <w:sz w:val="27"/>
          <w:szCs w:val="27"/>
        </w:rPr>
        <w:t xml:space="preserve"> </w:t>
      </w:r>
      <w:r>
        <w:rPr>
          <w:rFonts w:ascii="宋体" w:hAnsi="宋体" w:eastAsia="宋体" w:cs="宋体"/>
          <w:b/>
          <w:bCs/>
          <w:spacing w:val="4"/>
          <w:sz w:val="27"/>
          <w:szCs w:val="27"/>
        </w:rPr>
        <w:t>——</w:t>
      </w:r>
      <w:r>
        <w:rPr>
          <w:b/>
          <w:bCs/>
          <w:sz w:val="27"/>
          <w:szCs w:val="27"/>
        </w:rPr>
        <w:t>JGJ</w:t>
      </w:r>
      <w:r>
        <w:rPr>
          <w:b/>
          <w:bCs/>
          <w:spacing w:val="4"/>
          <w:sz w:val="27"/>
          <w:szCs w:val="27"/>
        </w:rPr>
        <w:t>59-</w:t>
      </w:r>
      <w:r>
        <w:rPr>
          <w:b/>
          <w:bCs/>
          <w:spacing w:val="3"/>
          <w:sz w:val="27"/>
          <w:szCs w:val="27"/>
        </w:rPr>
        <w:t>2011</w:t>
      </w:r>
      <w:r>
        <w:rPr>
          <w:rFonts w:ascii="宋体" w:hAnsi="宋体" w:eastAsia="宋体" w:cs="宋体"/>
          <w:b/>
          <w:bCs/>
          <w:spacing w:val="3"/>
          <w:sz w:val="27"/>
          <w:szCs w:val="27"/>
        </w:rPr>
        <w:t>【强条已废】</w:t>
      </w:r>
    </w:p>
    <w:p w14:paraId="3529C646">
      <w:pPr>
        <w:spacing w:before="286" w:line="338" w:lineRule="auto"/>
        <w:ind w:left="15" w:right="33" w:firstLine="16"/>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宋体" w:hAnsi="宋体" w:eastAsia="宋体" w:cs="宋体"/>
          <w:b/>
          <w:bCs/>
          <w:color w:val="0563C1"/>
          <w:spacing w:val="-2"/>
          <w:sz w:val="24"/>
          <w:szCs w:val="24"/>
          <w:u w:val="single" w:color="auto"/>
        </w:rPr>
        <w:t>《建筑与市政施工现场安全卫生与职业健康通用规范》</w:t>
      </w:r>
      <w:r>
        <w:rPr>
          <w:rFonts w:ascii="Times New Roman" w:hAnsi="Times New Roman" w:eastAsia="Times New Roman" w:cs="Times New Roman"/>
          <w:b/>
          <w:bCs/>
          <w:color w:val="0563C1"/>
          <w:spacing w:val="-2"/>
          <w:sz w:val="24"/>
          <w:szCs w:val="24"/>
          <w:u w:val="single" w:color="auto"/>
        </w:rPr>
        <w:t>GB5</w:t>
      </w:r>
      <w:r>
        <w:rPr>
          <w:rFonts w:ascii="Times New Roman" w:hAnsi="Times New Roman" w:eastAsia="Times New Roman" w:cs="Times New Roman"/>
          <w:b/>
          <w:bCs/>
          <w:color w:val="0563C1"/>
          <w:spacing w:val="-3"/>
          <w:sz w:val="24"/>
          <w:szCs w:val="24"/>
          <w:u w:val="single" w:color="auto"/>
        </w:rPr>
        <w:t>5034-2022</w:t>
      </w:r>
      <w:r>
        <w:rPr>
          <w:rFonts w:ascii="宋体" w:hAnsi="宋体" w:eastAsia="宋体" w:cs="宋体"/>
          <w:b/>
          <w:bCs/>
          <w:color w:val="0563C1"/>
          <w:spacing w:val="-3"/>
          <w:sz w:val="24"/>
          <w:szCs w:val="24"/>
          <w:u w:val="single" w:color="auto"/>
        </w:rPr>
        <w:t>》</w:t>
      </w:r>
      <w:r>
        <w:rPr>
          <w:rFonts w:ascii="宋体" w:hAnsi="宋体" w:eastAsia="宋体" w:cs="宋体"/>
          <w:color w:val="0563C1"/>
          <w:sz w:val="24"/>
          <w:szCs w:val="24"/>
        </w:rPr>
        <w:t xml:space="preserve"> </w:t>
      </w:r>
      <w:r>
        <w:rPr>
          <w:rFonts w:ascii="宋体" w:hAnsi="宋体" w:eastAsia="宋体" w:cs="宋体"/>
          <w:b/>
          <w:bCs/>
          <w:color w:val="EE0000"/>
          <w:spacing w:val="-8"/>
          <w:sz w:val="24"/>
          <w:szCs w:val="24"/>
        </w:rPr>
        <w:t>替代</w:t>
      </w:r>
    </w:p>
    <w:p w14:paraId="49A2748F">
      <w:pPr>
        <w:spacing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4.0.1    </w:t>
      </w:r>
      <w:r>
        <w:rPr>
          <w:rFonts w:ascii="宋体" w:hAnsi="宋体" w:eastAsia="宋体" w:cs="宋体"/>
          <w:strike/>
          <w:sz w:val="24"/>
          <w:szCs w:val="24"/>
        </w:rPr>
        <w:t>建筑施工安全检查评定中，保证项目应</w:t>
      </w:r>
      <w:r>
        <w:rPr>
          <w:rFonts w:ascii="宋体" w:hAnsi="宋体" w:eastAsia="宋体" w:cs="宋体"/>
          <w:strike/>
          <w:spacing w:val="-1"/>
          <w:sz w:val="24"/>
          <w:szCs w:val="24"/>
        </w:rPr>
        <w:t>全数检查。</w:t>
      </w:r>
    </w:p>
    <w:p w14:paraId="48929B0F">
      <w:pPr>
        <w:spacing w:before="154" w:line="220" w:lineRule="auto"/>
        <w:ind w:left="7"/>
        <w:rPr>
          <w:rFonts w:ascii="宋体" w:hAnsi="宋体" w:eastAsia="宋体" w:cs="宋体"/>
          <w:sz w:val="24"/>
          <w:szCs w:val="24"/>
        </w:rPr>
      </w:pPr>
      <w:r>
        <w:rPr>
          <w:rFonts w:ascii="Times New Roman" w:hAnsi="Times New Roman" w:eastAsia="Times New Roman" w:cs="Times New Roman"/>
          <w:strike/>
          <w:sz w:val="24"/>
          <w:szCs w:val="24"/>
        </w:rPr>
        <w:t xml:space="preserve">5.0.3    </w:t>
      </w:r>
      <w:r>
        <w:rPr>
          <w:rFonts w:ascii="宋体" w:hAnsi="宋体" w:eastAsia="宋体" w:cs="宋体"/>
          <w:strike/>
          <w:sz w:val="24"/>
          <w:szCs w:val="24"/>
        </w:rPr>
        <w:t>当建筑施工安全检查评定的等级为不合格时</w:t>
      </w:r>
      <w:r>
        <w:rPr>
          <w:rFonts w:ascii="宋体" w:hAnsi="宋体" w:eastAsia="宋体" w:cs="宋体"/>
          <w:strike/>
          <w:spacing w:val="-1"/>
          <w:sz w:val="24"/>
          <w:szCs w:val="24"/>
        </w:rPr>
        <w:t>，必须限期整改达到合格。</w:t>
      </w:r>
    </w:p>
    <w:p w14:paraId="05730C3F">
      <w:pPr>
        <w:pStyle w:val="2"/>
        <w:spacing w:before="302" w:line="327" w:lineRule="auto"/>
        <w:ind w:left="445" w:right="202" w:hanging="438"/>
        <w:outlineLvl w:val="1"/>
        <w:rPr>
          <w:rFonts w:ascii="宋体" w:hAnsi="宋体" w:eastAsia="宋体" w:cs="宋体"/>
          <w:sz w:val="27"/>
          <w:szCs w:val="27"/>
        </w:rPr>
      </w:pPr>
      <w:bookmarkStart w:id="98" w:name="bookmark144"/>
      <w:bookmarkEnd w:id="98"/>
      <w:r>
        <w:rPr>
          <w:b/>
          <w:bCs/>
          <w:spacing w:val="5"/>
          <w:sz w:val="27"/>
          <w:szCs w:val="27"/>
        </w:rPr>
        <w:t>8.</w:t>
      </w:r>
      <w:r>
        <w:rPr>
          <w:b/>
          <w:bCs/>
          <w:spacing w:val="-48"/>
          <w:sz w:val="27"/>
          <w:szCs w:val="27"/>
        </w:rPr>
        <w:t xml:space="preserve"> </w:t>
      </w:r>
      <w:r>
        <w:rPr>
          <w:rFonts w:ascii="宋体" w:hAnsi="宋体" w:eastAsia="宋体" w:cs="宋体"/>
          <w:b/>
          <w:bCs/>
          <w:spacing w:val="5"/>
          <w:sz w:val="27"/>
          <w:szCs w:val="27"/>
        </w:rPr>
        <w:t>《龙门架及井架物料提升机安全技术规范》</w:t>
      </w:r>
      <w:r>
        <w:rPr>
          <w:rFonts w:ascii="宋体" w:hAnsi="宋体" w:eastAsia="宋体" w:cs="宋体"/>
          <w:spacing w:val="-91"/>
          <w:sz w:val="27"/>
          <w:szCs w:val="27"/>
        </w:rPr>
        <w:t xml:space="preserve"> </w:t>
      </w:r>
      <w:r>
        <w:rPr>
          <w:rFonts w:ascii="宋体" w:hAnsi="宋体" w:eastAsia="宋体" w:cs="宋体"/>
          <w:b/>
          <w:bCs/>
          <w:spacing w:val="5"/>
          <w:sz w:val="27"/>
          <w:szCs w:val="27"/>
        </w:rPr>
        <w:t>——</w:t>
      </w:r>
      <w:r>
        <w:rPr>
          <w:b/>
          <w:bCs/>
          <w:sz w:val="27"/>
          <w:szCs w:val="27"/>
        </w:rPr>
        <w:t>JGJ</w:t>
      </w:r>
      <w:r>
        <w:rPr>
          <w:b/>
          <w:bCs/>
          <w:spacing w:val="5"/>
          <w:sz w:val="27"/>
          <w:szCs w:val="27"/>
        </w:rPr>
        <w:t>88-2010</w:t>
      </w:r>
      <w:r>
        <w:rPr>
          <w:rFonts w:ascii="宋体" w:hAnsi="宋体" w:eastAsia="宋体" w:cs="宋体"/>
          <w:b/>
          <w:bCs/>
          <w:spacing w:val="4"/>
          <w:sz w:val="27"/>
          <w:szCs w:val="27"/>
        </w:rPr>
        <w:t>【强条已</w:t>
      </w:r>
      <w:r>
        <w:rPr>
          <w:rFonts w:ascii="宋体" w:hAnsi="宋体" w:eastAsia="宋体" w:cs="宋体"/>
          <w:sz w:val="27"/>
          <w:szCs w:val="27"/>
        </w:rPr>
        <w:t xml:space="preserve"> </w:t>
      </w:r>
      <w:bookmarkStart w:id="99" w:name="bookmark144"/>
      <w:bookmarkEnd w:id="99"/>
      <w:r>
        <w:rPr>
          <w:rFonts w:ascii="宋体" w:hAnsi="宋体" w:eastAsia="宋体" w:cs="宋体"/>
          <w:b/>
          <w:bCs/>
          <w:spacing w:val="-2"/>
          <w:sz w:val="27"/>
          <w:szCs w:val="27"/>
        </w:rPr>
        <w:t>废】</w:t>
      </w:r>
    </w:p>
    <w:p w14:paraId="38A86F69">
      <w:pPr>
        <w:spacing w:before="285" w:line="338" w:lineRule="auto"/>
        <w:ind w:left="15" w:right="33" w:firstLine="16"/>
        <w:rPr>
          <w:rFonts w:ascii="宋体" w:hAnsi="宋体" w:eastAsia="宋体" w:cs="宋体"/>
          <w:sz w:val="24"/>
          <w:szCs w:val="24"/>
        </w:rPr>
      </w:pPr>
      <w:r>
        <w:rPr>
          <w:rFonts w:ascii="宋体" w:hAnsi="宋体" w:eastAsia="宋体" w:cs="宋体"/>
          <w:b/>
          <w:bCs/>
          <w:color w:val="EE0000"/>
          <w:spacing w:val="-2"/>
          <w:sz w:val="24"/>
          <w:szCs w:val="24"/>
        </w:rPr>
        <w:t>以下条目已被</w:t>
      </w:r>
      <w:r>
        <w:rPr>
          <w:rFonts w:ascii="宋体" w:hAnsi="宋体" w:eastAsia="宋体" w:cs="宋体"/>
          <w:b/>
          <w:bCs/>
          <w:color w:val="0563C1"/>
          <w:spacing w:val="-2"/>
          <w:sz w:val="24"/>
          <w:szCs w:val="24"/>
          <w:u w:val="single" w:color="auto"/>
        </w:rPr>
        <w:t>《建筑与市政施工现场安全卫生与职业健康通用规范》</w:t>
      </w:r>
      <w:r>
        <w:rPr>
          <w:rFonts w:ascii="Times New Roman" w:hAnsi="Times New Roman" w:eastAsia="Times New Roman" w:cs="Times New Roman"/>
          <w:b/>
          <w:bCs/>
          <w:color w:val="0563C1"/>
          <w:spacing w:val="-2"/>
          <w:sz w:val="24"/>
          <w:szCs w:val="24"/>
          <w:u w:val="single" w:color="auto"/>
        </w:rPr>
        <w:t>GB5</w:t>
      </w:r>
      <w:r>
        <w:rPr>
          <w:rFonts w:ascii="Times New Roman" w:hAnsi="Times New Roman" w:eastAsia="Times New Roman" w:cs="Times New Roman"/>
          <w:b/>
          <w:bCs/>
          <w:color w:val="0563C1"/>
          <w:spacing w:val="-3"/>
          <w:sz w:val="24"/>
          <w:szCs w:val="24"/>
          <w:u w:val="single" w:color="auto"/>
        </w:rPr>
        <w:t>5034-2022</w:t>
      </w:r>
      <w:r>
        <w:rPr>
          <w:rFonts w:ascii="宋体" w:hAnsi="宋体" w:eastAsia="宋体" w:cs="宋体"/>
          <w:b/>
          <w:bCs/>
          <w:color w:val="0563C1"/>
          <w:spacing w:val="-3"/>
          <w:sz w:val="24"/>
          <w:szCs w:val="24"/>
          <w:u w:val="single" w:color="auto"/>
        </w:rPr>
        <w:t>》</w:t>
      </w:r>
      <w:r>
        <w:rPr>
          <w:rFonts w:ascii="宋体" w:hAnsi="宋体" w:eastAsia="宋体" w:cs="宋体"/>
          <w:color w:val="0563C1"/>
          <w:sz w:val="24"/>
          <w:szCs w:val="24"/>
        </w:rPr>
        <w:t xml:space="preserve"> </w:t>
      </w:r>
      <w:r>
        <w:rPr>
          <w:rFonts w:ascii="宋体" w:hAnsi="宋体" w:eastAsia="宋体" w:cs="宋体"/>
          <w:b/>
          <w:bCs/>
          <w:color w:val="EE0000"/>
          <w:spacing w:val="-8"/>
          <w:sz w:val="24"/>
          <w:szCs w:val="24"/>
        </w:rPr>
        <w:t>替代</w:t>
      </w:r>
    </w:p>
    <w:p w14:paraId="3F8C5A36">
      <w:pPr>
        <w:spacing w:line="279" w:lineRule="auto"/>
        <w:ind w:left="4" w:right="120" w:firstLine="3"/>
        <w:rPr>
          <w:rFonts w:ascii="宋体" w:hAnsi="宋体" w:eastAsia="宋体" w:cs="宋体"/>
          <w:sz w:val="24"/>
          <w:szCs w:val="24"/>
        </w:rPr>
      </w:pPr>
      <w:r>
        <w:rPr>
          <w:rFonts w:ascii="Times New Roman" w:hAnsi="Times New Roman" w:eastAsia="Times New Roman" w:cs="Times New Roman"/>
          <w:strike/>
          <w:sz w:val="24"/>
          <w:szCs w:val="24"/>
        </w:rPr>
        <w:t xml:space="preserve">5.1.5    </w:t>
      </w:r>
      <w:r>
        <w:rPr>
          <w:rFonts w:ascii="宋体" w:hAnsi="宋体" w:eastAsia="宋体" w:cs="宋体"/>
          <w:strike/>
          <w:sz w:val="24"/>
          <w:szCs w:val="24"/>
        </w:rPr>
        <w:t>钢丝绳在卷筒上应整齐排列，端部应与卷筒压紧</w:t>
      </w:r>
      <w:r>
        <w:rPr>
          <w:rFonts w:ascii="宋体" w:hAnsi="宋体" w:eastAsia="宋体" w:cs="宋体"/>
          <w:strike/>
          <w:spacing w:val="-1"/>
          <w:sz w:val="24"/>
          <w:szCs w:val="24"/>
        </w:rPr>
        <w:t>装置连接牢固。当吊笼处于最</w:t>
      </w:r>
      <w:r>
        <w:rPr>
          <w:rFonts w:ascii="宋体" w:hAnsi="宋体" w:eastAsia="宋体" w:cs="宋体"/>
          <w:sz w:val="24"/>
          <w:szCs w:val="24"/>
        </w:rPr>
        <w:t xml:space="preserve"> </w:t>
      </w:r>
      <w:r>
        <w:rPr>
          <w:rFonts w:ascii="宋体" w:hAnsi="宋体" w:eastAsia="宋体" w:cs="宋体"/>
          <w:strike/>
          <w:spacing w:val="-2"/>
          <w:sz w:val="24"/>
          <w:szCs w:val="24"/>
        </w:rPr>
        <w:t>低位置时，卷筒上的钢丝绳不应少于</w:t>
      </w:r>
      <w:r>
        <w:rPr>
          <w:rFonts w:ascii="宋体" w:hAnsi="宋体" w:eastAsia="宋体" w:cs="宋体"/>
          <w:strike/>
          <w:spacing w:val="-46"/>
          <w:sz w:val="24"/>
          <w:szCs w:val="24"/>
        </w:rPr>
        <w:t xml:space="preserve"> </w:t>
      </w:r>
      <w:r>
        <w:rPr>
          <w:rFonts w:ascii="Times New Roman" w:hAnsi="Times New Roman" w:eastAsia="Times New Roman" w:cs="Times New Roman"/>
          <w:strike/>
          <w:spacing w:val="-2"/>
          <w:sz w:val="24"/>
          <w:szCs w:val="24"/>
        </w:rPr>
        <w:t>3</w:t>
      </w:r>
      <w:r>
        <w:rPr>
          <w:rFonts w:ascii="Times New Roman" w:hAnsi="Times New Roman" w:eastAsia="Times New Roman" w:cs="Times New Roman"/>
          <w:strike/>
          <w:spacing w:val="28"/>
          <w:w w:val="101"/>
          <w:sz w:val="24"/>
          <w:szCs w:val="24"/>
        </w:rPr>
        <w:t xml:space="preserve"> </w:t>
      </w:r>
      <w:r>
        <w:rPr>
          <w:rFonts w:ascii="宋体" w:hAnsi="宋体" w:eastAsia="宋体" w:cs="宋体"/>
          <w:strike/>
          <w:spacing w:val="-2"/>
          <w:sz w:val="24"/>
          <w:szCs w:val="24"/>
        </w:rPr>
        <w:t>圈。</w:t>
      </w:r>
    </w:p>
    <w:p w14:paraId="213AFC0A">
      <w:pPr>
        <w:spacing w:before="155" w:line="219" w:lineRule="auto"/>
        <w:ind w:left="7"/>
        <w:rPr>
          <w:rFonts w:ascii="宋体" w:hAnsi="宋体" w:eastAsia="宋体" w:cs="宋体"/>
          <w:sz w:val="24"/>
          <w:szCs w:val="24"/>
        </w:rPr>
      </w:pPr>
      <w:r>
        <w:rPr>
          <w:rFonts w:ascii="Times New Roman" w:hAnsi="Times New Roman" w:eastAsia="Times New Roman" w:cs="Times New Roman"/>
          <w:strike/>
          <w:spacing w:val="-1"/>
          <w:sz w:val="24"/>
          <w:szCs w:val="24"/>
        </w:rPr>
        <w:t xml:space="preserve">5.1.7    </w:t>
      </w:r>
      <w:r>
        <w:rPr>
          <w:rFonts w:ascii="宋体" w:hAnsi="宋体" w:eastAsia="宋体" w:cs="宋体"/>
          <w:strike/>
          <w:spacing w:val="-1"/>
          <w:sz w:val="24"/>
          <w:szCs w:val="24"/>
        </w:rPr>
        <w:t>物料提升机严禁使用摩擦式卷扬机。</w:t>
      </w:r>
    </w:p>
    <w:p w14:paraId="591F2D0A">
      <w:pPr>
        <w:spacing w:before="155" w:line="279" w:lineRule="auto"/>
        <w:ind w:left="5" w:right="99"/>
        <w:rPr>
          <w:rFonts w:ascii="宋体" w:hAnsi="宋体" w:eastAsia="宋体" w:cs="宋体"/>
          <w:sz w:val="24"/>
          <w:szCs w:val="24"/>
        </w:rPr>
      </w:pPr>
      <w:r>
        <w:rPr>
          <w:rFonts w:ascii="Times New Roman" w:hAnsi="Times New Roman" w:eastAsia="Times New Roman" w:cs="Times New Roman"/>
          <w:strike/>
          <w:sz w:val="24"/>
          <w:szCs w:val="24"/>
        </w:rPr>
        <w:t xml:space="preserve">6.1.1    </w:t>
      </w:r>
      <w:r>
        <w:rPr>
          <w:rFonts w:ascii="宋体" w:hAnsi="宋体" w:eastAsia="宋体" w:cs="宋体"/>
          <w:strike/>
          <w:sz w:val="24"/>
          <w:szCs w:val="24"/>
        </w:rPr>
        <w:t>当荷载达到额定起重量的</w:t>
      </w:r>
      <w:r>
        <w:rPr>
          <w:rFonts w:ascii="宋体" w:hAnsi="宋体" w:eastAsia="宋体" w:cs="宋体"/>
          <w:strike/>
          <w:spacing w:val="-50"/>
          <w:sz w:val="24"/>
          <w:szCs w:val="24"/>
        </w:rPr>
        <w:t xml:space="preserve"> </w:t>
      </w:r>
      <w:r>
        <w:rPr>
          <w:rFonts w:ascii="Times New Roman" w:hAnsi="Times New Roman" w:eastAsia="Times New Roman" w:cs="Times New Roman"/>
          <w:strike/>
          <w:sz w:val="24"/>
          <w:szCs w:val="24"/>
        </w:rPr>
        <w:t>90%</w:t>
      </w:r>
      <w:r>
        <w:rPr>
          <w:rFonts w:ascii="宋体" w:hAnsi="宋体" w:eastAsia="宋体" w:cs="宋体"/>
          <w:strike/>
          <w:spacing w:val="-1"/>
          <w:sz w:val="24"/>
          <w:szCs w:val="24"/>
        </w:rPr>
        <w:t>时，起重量限制器应发出警示信号；当荷载达到</w:t>
      </w:r>
      <w:r>
        <w:rPr>
          <w:rFonts w:ascii="宋体" w:hAnsi="宋体" w:eastAsia="宋体" w:cs="宋体"/>
          <w:sz w:val="24"/>
          <w:szCs w:val="24"/>
        </w:rPr>
        <w:t xml:space="preserve"> </w:t>
      </w:r>
      <w:r>
        <w:rPr>
          <w:rFonts w:ascii="宋体" w:hAnsi="宋体" w:eastAsia="宋体" w:cs="宋体"/>
          <w:strike/>
          <w:spacing w:val="-2"/>
          <w:sz w:val="24"/>
          <w:szCs w:val="24"/>
        </w:rPr>
        <w:t>额定起重量的</w:t>
      </w:r>
      <w:r>
        <w:rPr>
          <w:rFonts w:ascii="宋体" w:hAnsi="宋体" w:eastAsia="宋体" w:cs="宋体"/>
          <w:strike/>
          <w:spacing w:val="-22"/>
          <w:sz w:val="24"/>
          <w:szCs w:val="24"/>
        </w:rPr>
        <w:t xml:space="preserve"> </w:t>
      </w:r>
      <w:r>
        <w:rPr>
          <w:rFonts w:ascii="Times New Roman" w:hAnsi="Times New Roman" w:eastAsia="Times New Roman" w:cs="Times New Roman"/>
          <w:strike/>
          <w:spacing w:val="-2"/>
          <w:sz w:val="24"/>
          <w:szCs w:val="24"/>
        </w:rPr>
        <w:t>110%</w:t>
      </w:r>
      <w:r>
        <w:rPr>
          <w:rFonts w:ascii="宋体" w:hAnsi="宋体" w:eastAsia="宋体" w:cs="宋体"/>
          <w:strike/>
          <w:spacing w:val="-2"/>
          <w:sz w:val="24"/>
          <w:szCs w:val="24"/>
        </w:rPr>
        <w:t>时，起重量限制器应切断上升主电路电源。</w:t>
      </w:r>
    </w:p>
    <w:p w14:paraId="2787C198">
      <w:pPr>
        <w:spacing w:before="156" w:line="278" w:lineRule="auto"/>
        <w:ind w:left="4" w:right="120" w:firstLine="1"/>
        <w:rPr>
          <w:rFonts w:ascii="宋体" w:hAnsi="宋体" w:eastAsia="宋体" w:cs="宋体"/>
          <w:sz w:val="24"/>
          <w:szCs w:val="24"/>
        </w:rPr>
      </w:pPr>
      <w:r>
        <w:rPr>
          <w:rFonts w:ascii="Times New Roman" w:hAnsi="Times New Roman" w:eastAsia="Times New Roman" w:cs="Times New Roman"/>
          <w:strike/>
          <w:sz w:val="24"/>
          <w:szCs w:val="24"/>
        </w:rPr>
        <w:t xml:space="preserve">6.1.2    </w:t>
      </w:r>
      <w:r>
        <w:rPr>
          <w:rFonts w:ascii="宋体" w:hAnsi="宋体" w:eastAsia="宋体" w:cs="宋体"/>
          <w:strike/>
          <w:sz w:val="24"/>
          <w:szCs w:val="24"/>
        </w:rPr>
        <w:t>当吊笼提升钢丝绳断绳时，防坠安全器应制停带有</w:t>
      </w:r>
      <w:r>
        <w:rPr>
          <w:rFonts w:ascii="宋体" w:hAnsi="宋体" w:eastAsia="宋体" w:cs="宋体"/>
          <w:strike/>
          <w:spacing w:val="-1"/>
          <w:sz w:val="24"/>
          <w:szCs w:val="24"/>
        </w:rPr>
        <w:t>定额起重量的吊笼，且不应</w:t>
      </w:r>
      <w:r>
        <w:rPr>
          <w:rFonts w:ascii="宋体" w:hAnsi="宋体" w:eastAsia="宋体" w:cs="宋体"/>
          <w:sz w:val="24"/>
          <w:szCs w:val="24"/>
        </w:rPr>
        <w:t xml:space="preserve"> </w:t>
      </w:r>
      <w:r>
        <w:rPr>
          <w:rFonts w:ascii="宋体" w:hAnsi="宋体" w:eastAsia="宋体" w:cs="宋体"/>
          <w:strike/>
          <w:spacing w:val="-1"/>
          <w:sz w:val="24"/>
          <w:szCs w:val="24"/>
        </w:rPr>
        <w:t>造成结构损坏。自升平台应采用渐进式防坠安全器。</w:t>
      </w:r>
    </w:p>
    <w:p w14:paraId="6D27D9DF">
      <w:pPr>
        <w:spacing w:before="155" w:line="219"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8.3.2    </w:t>
      </w:r>
      <w:r>
        <w:rPr>
          <w:rFonts w:ascii="宋体" w:hAnsi="宋体" w:eastAsia="宋体" w:cs="宋体"/>
          <w:strike/>
          <w:spacing w:val="-1"/>
          <w:sz w:val="24"/>
          <w:szCs w:val="24"/>
        </w:rPr>
        <w:t>当物料提升机安装高度大于或等于</w:t>
      </w:r>
      <w:r>
        <w:rPr>
          <w:rFonts w:ascii="宋体" w:hAnsi="宋体" w:eastAsia="宋体" w:cs="宋体"/>
          <w:strike/>
          <w:spacing w:val="-51"/>
          <w:sz w:val="24"/>
          <w:szCs w:val="24"/>
        </w:rPr>
        <w:t xml:space="preserve"> </w:t>
      </w:r>
      <w:r>
        <w:rPr>
          <w:rFonts w:ascii="Times New Roman" w:hAnsi="Times New Roman" w:eastAsia="Times New Roman" w:cs="Times New Roman"/>
          <w:strike/>
          <w:spacing w:val="-1"/>
          <w:sz w:val="24"/>
          <w:szCs w:val="24"/>
        </w:rPr>
        <w:t>30m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1"/>
          <w:sz w:val="24"/>
          <w:szCs w:val="24"/>
        </w:rPr>
        <w:t>时，不</w:t>
      </w:r>
      <w:r>
        <w:rPr>
          <w:rFonts w:ascii="宋体" w:hAnsi="宋体" w:eastAsia="宋体" w:cs="宋体"/>
          <w:strike/>
          <w:spacing w:val="-2"/>
          <w:sz w:val="24"/>
          <w:szCs w:val="24"/>
        </w:rPr>
        <w:t>得使用缆风绳。</w:t>
      </w:r>
    </w:p>
    <w:p w14:paraId="6ED0052A">
      <w:pPr>
        <w:spacing w:before="156" w:line="219" w:lineRule="auto"/>
        <w:ind w:left="5"/>
        <w:rPr>
          <w:rFonts w:ascii="宋体" w:hAnsi="宋体" w:eastAsia="宋体" w:cs="宋体"/>
          <w:sz w:val="24"/>
          <w:szCs w:val="24"/>
        </w:rPr>
      </w:pPr>
      <w:r>
        <w:rPr>
          <w:rFonts w:ascii="Times New Roman" w:hAnsi="Times New Roman" w:eastAsia="Times New Roman" w:cs="Times New Roman"/>
          <w:strike/>
          <w:sz w:val="24"/>
          <w:szCs w:val="24"/>
        </w:rPr>
        <w:t xml:space="preserve">9.1.1    </w:t>
      </w:r>
      <w:r>
        <w:rPr>
          <w:rFonts w:ascii="宋体" w:hAnsi="宋体" w:eastAsia="宋体" w:cs="宋体"/>
          <w:strike/>
          <w:sz w:val="24"/>
          <w:szCs w:val="24"/>
        </w:rPr>
        <w:t>安装、拆除物料提升机的</w:t>
      </w:r>
      <w:r>
        <w:rPr>
          <w:rFonts w:ascii="宋体" w:hAnsi="宋体" w:eastAsia="宋体" w:cs="宋体"/>
          <w:strike/>
          <w:spacing w:val="-1"/>
          <w:sz w:val="24"/>
          <w:szCs w:val="24"/>
        </w:rPr>
        <w:t>单位应具备下列条件：</w:t>
      </w:r>
    </w:p>
    <w:p w14:paraId="0994DC99">
      <w:pPr>
        <w:spacing w:before="155" w:line="219" w:lineRule="auto"/>
        <w:ind w:left="50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安装、拆卸单位应具有起重机械安拆资质及安全生产许可证；</w:t>
      </w:r>
    </w:p>
    <w:p w14:paraId="60152E08">
      <w:pPr>
        <w:spacing w:before="155" w:line="220" w:lineRule="auto"/>
        <w:ind w:left="48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安装、拆除作业人员必须经专门培训，取得特种</w:t>
      </w:r>
      <w:r>
        <w:rPr>
          <w:rFonts w:ascii="宋体" w:hAnsi="宋体" w:eastAsia="宋体" w:cs="宋体"/>
          <w:strike/>
          <w:spacing w:val="-1"/>
          <w:sz w:val="24"/>
          <w:szCs w:val="24"/>
        </w:rPr>
        <w:t>作业资格证。</w:t>
      </w:r>
    </w:p>
    <w:p w14:paraId="2172989C">
      <w:pPr>
        <w:spacing w:before="155" w:line="219" w:lineRule="auto"/>
        <w:ind w:left="24"/>
        <w:rPr>
          <w:rFonts w:ascii="宋体" w:hAnsi="宋体" w:eastAsia="宋体" w:cs="宋体"/>
          <w:sz w:val="24"/>
          <w:szCs w:val="24"/>
        </w:rPr>
      </w:pPr>
      <w:r>
        <w:rPr>
          <w:rFonts w:ascii="Times New Roman" w:hAnsi="Times New Roman" w:eastAsia="Times New Roman" w:cs="Times New Roman"/>
          <w:strike/>
          <w:spacing w:val="-1"/>
          <w:sz w:val="24"/>
          <w:szCs w:val="24"/>
        </w:rPr>
        <w:t xml:space="preserve">11.0.2    </w:t>
      </w:r>
      <w:r>
        <w:rPr>
          <w:rFonts w:ascii="宋体" w:hAnsi="宋体" w:eastAsia="宋体" w:cs="宋体"/>
          <w:strike/>
          <w:spacing w:val="-1"/>
          <w:sz w:val="24"/>
          <w:szCs w:val="24"/>
        </w:rPr>
        <w:t>物料提升机必须由取得特种作业操作证的</w:t>
      </w:r>
      <w:r>
        <w:rPr>
          <w:rFonts w:ascii="宋体" w:hAnsi="宋体" w:eastAsia="宋体" w:cs="宋体"/>
          <w:strike/>
          <w:spacing w:val="-2"/>
          <w:sz w:val="24"/>
          <w:szCs w:val="24"/>
        </w:rPr>
        <w:t>人员操作。</w:t>
      </w:r>
    </w:p>
    <w:p w14:paraId="0E023F1B">
      <w:pPr>
        <w:spacing w:before="154" w:line="219" w:lineRule="auto"/>
        <w:ind w:left="24"/>
        <w:rPr>
          <w:rFonts w:ascii="宋体" w:hAnsi="宋体" w:eastAsia="宋体" w:cs="宋体"/>
          <w:sz w:val="24"/>
          <w:szCs w:val="24"/>
        </w:rPr>
      </w:pPr>
      <w:r>
        <w:rPr>
          <w:rFonts w:ascii="Times New Roman" w:hAnsi="Times New Roman" w:eastAsia="Times New Roman" w:cs="Times New Roman"/>
          <w:strike/>
          <w:spacing w:val="-2"/>
          <w:sz w:val="24"/>
          <w:szCs w:val="24"/>
        </w:rPr>
        <w:t xml:space="preserve">11.0.3    </w:t>
      </w:r>
      <w:r>
        <w:rPr>
          <w:rFonts w:ascii="宋体" w:hAnsi="宋体" w:eastAsia="宋体" w:cs="宋体"/>
          <w:strike/>
          <w:spacing w:val="-2"/>
          <w:sz w:val="24"/>
          <w:szCs w:val="24"/>
        </w:rPr>
        <w:t>物料提升机严禁载人。</w:t>
      </w:r>
    </w:p>
    <w:p w14:paraId="61746A17">
      <w:pPr>
        <w:pStyle w:val="2"/>
        <w:spacing w:before="303" w:line="327" w:lineRule="auto"/>
        <w:ind w:left="477" w:right="56" w:hanging="472"/>
        <w:outlineLvl w:val="1"/>
        <w:rPr>
          <w:rFonts w:ascii="宋体" w:hAnsi="宋体" w:eastAsia="宋体" w:cs="宋体"/>
          <w:sz w:val="27"/>
          <w:szCs w:val="27"/>
        </w:rPr>
      </w:pPr>
      <w:bookmarkStart w:id="100" w:name="bookmark145"/>
      <w:bookmarkEnd w:id="100"/>
      <w:r>
        <w:rPr>
          <w:b/>
          <w:bCs/>
          <w:spacing w:val="4"/>
          <w:sz w:val="27"/>
          <w:szCs w:val="27"/>
        </w:rPr>
        <w:t>9.</w:t>
      </w:r>
      <w:r>
        <w:rPr>
          <w:b/>
          <w:bCs/>
          <w:spacing w:val="-36"/>
          <w:sz w:val="27"/>
          <w:szCs w:val="27"/>
        </w:rPr>
        <w:t xml:space="preserve"> </w:t>
      </w:r>
      <w:r>
        <w:rPr>
          <w:rFonts w:ascii="宋体" w:hAnsi="宋体" w:eastAsia="宋体" w:cs="宋体"/>
          <w:b/>
          <w:bCs/>
          <w:spacing w:val="4"/>
          <w:sz w:val="27"/>
          <w:szCs w:val="27"/>
        </w:rPr>
        <w:t>《建筑施工扣件式钢管脚手架安全技术规范》</w:t>
      </w:r>
      <w:r>
        <w:rPr>
          <w:rFonts w:ascii="宋体" w:hAnsi="宋体" w:eastAsia="宋体" w:cs="宋体"/>
          <w:spacing w:val="-78"/>
          <w:sz w:val="27"/>
          <w:szCs w:val="27"/>
        </w:rPr>
        <w:t xml:space="preserve"> </w:t>
      </w:r>
      <w:r>
        <w:rPr>
          <w:rFonts w:ascii="宋体" w:hAnsi="宋体" w:eastAsia="宋体" w:cs="宋体"/>
          <w:b/>
          <w:bCs/>
          <w:spacing w:val="4"/>
          <w:sz w:val="27"/>
          <w:szCs w:val="27"/>
        </w:rPr>
        <w:t>——</w:t>
      </w:r>
      <w:r>
        <w:rPr>
          <w:b/>
          <w:bCs/>
          <w:sz w:val="27"/>
          <w:szCs w:val="27"/>
        </w:rPr>
        <w:t>JGJ</w:t>
      </w:r>
      <w:r>
        <w:rPr>
          <w:b/>
          <w:bCs/>
          <w:spacing w:val="4"/>
          <w:sz w:val="27"/>
          <w:szCs w:val="27"/>
        </w:rPr>
        <w:t>130-2011</w:t>
      </w:r>
      <w:r>
        <w:rPr>
          <w:rFonts w:ascii="宋体" w:hAnsi="宋体" w:eastAsia="宋体" w:cs="宋体"/>
          <w:b/>
          <w:bCs/>
          <w:spacing w:val="4"/>
          <w:sz w:val="27"/>
          <w:szCs w:val="27"/>
        </w:rPr>
        <w:t>【强条</w:t>
      </w:r>
      <w:r>
        <w:rPr>
          <w:rFonts w:ascii="宋体" w:hAnsi="宋体" w:eastAsia="宋体" w:cs="宋体"/>
          <w:sz w:val="27"/>
          <w:szCs w:val="27"/>
        </w:rPr>
        <w:t xml:space="preserve"> </w:t>
      </w:r>
      <w:bookmarkStart w:id="101" w:name="bookmark145"/>
      <w:bookmarkEnd w:id="101"/>
      <w:r>
        <w:rPr>
          <w:rFonts w:ascii="宋体" w:hAnsi="宋体" w:eastAsia="宋体" w:cs="宋体"/>
          <w:b/>
          <w:bCs/>
          <w:spacing w:val="-7"/>
          <w:sz w:val="27"/>
          <w:szCs w:val="27"/>
        </w:rPr>
        <w:t>已废】</w:t>
      </w:r>
    </w:p>
    <w:p w14:paraId="64E061EC">
      <w:pPr>
        <w:spacing w:before="285" w:line="219" w:lineRule="auto"/>
        <w:ind w:left="32"/>
        <w:rPr>
          <w:rFonts w:ascii="宋体" w:hAnsi="宋体" w:eastAsia="宋体" w:cs="宋体"/>
          <w:sz w:val="24"/>
          <w:szCs w:val="24"/>
        </w:rPr>
      </w:pPr>
      <w:r>
        <w:rPr>
          <w:rFonts w:ascii="宋体" w:hAnsi="宋体" w:eastAsia="宋体" w:cs="宋体"/>
          <w:b/>
          <w:bCs/>
          <w:color w:val="EE0000"/>
          <w:sz w:val="24"/>
          <w:szCs w:val="24"/>
        </w:rPr>
        <w:t>以下条目已被</w:t>
      </w:r>
      <w:r>
        <w:rPr>
          <w:rFonts w:ascii="宋体" w:hAnsi="宋体" w:eastAsia="宋体" w:cs="宋体"/>
          <w:b/>
          <w:bCs/>
          <w:color w:val="0563C1"/>
          <w:sz w:val="24"/>
          <w:szCs w:val="24"/>
          <w:u w:val="single" w:color="auto"/>
        </w:rPr>
        <w:t>《施工脚手架通用规范》</w:t>
      </w:r>
      <w:r>
        <w:rPr>
          <w:rFonts w:ascii="Times New Roman" w:hAnsi="Times New Roman" w:eastAsia="Times New Roman" w:cs="Times New Roman"/>
          <w:b/>
          <w:bCs/>
          <w:color w:val="0563C1"/>
          <w:sz w:val="24"/>
          <w:szCs w:val="24"/>
          <w:u w:val="single" w:color="auto"/>
        </w:rPr>
        <w:t>GB550</w:t>
      </w:r>
      <w:r>
        <w:rPr>
          <w:rFonts w:ascii="Times New Roman" w:hAnsi="Times New Roman" w:eastAsia="Times New Roman" w:cs="Times New Roman"/>
          <w:b/>
          <w:bCs/>
          <w:color w:val="0563C1"/>
          <w:spacing w:val="-1"/>
          <w:sz w:val="24"/>
          <w:szCs w:val="24"/>
          <w:u w:val="single" w:color="auto"/>
        </w:rPr>
        <w:t>23-2022</w:t>
      </w:r>
      <w:r>
        <w:rPr>
          <w:rFonts w:ascii="宋体" w:hAnsi="宋体" w:eastAsia="宋体" w:cs="宋体"/>
          <w:b/>
          <w:bCs/>
          <w:color w:val="EE0000"/>
          <w:spacing w:val="-1"/>
          <w:sz w:val="24"/>
          <w:szCs w:val="24"/>
        </w:rPr>
        <w:t>替代</w:t>
      </w:r>
    </w:p>
    <w:p w14:paraId="0E1C2CE2">
      <w:pPr>
        <w:spacing w:before="123" w:line="219" w:lineRule="auto"/>
        <w:ind w:left="5"/>
        <w:rPr>
          <w:rFonts w:ascii="宋体" w:hAnsi="宋体" w:eastAsia="宋体" w:cs="宋体"/>
          <w:sz w:val="24"/>
          <w:szCs w:val="24"/>
        </w:rPr>
      </w:pPr>
      <w:r>
        <w:rPr>
          <w:rFonts w:ascii="Times New Roman" w:hAnsi="Times New Roman" w:eastAsia="Times New Roman" w:cs="Times New Roman"/>
          <w:strike/>
          <w:spacing w:val="-1"/>
          <w:sz w:val="24"/>
          <w:szCs w:val="24"/>
        </w:rPr>
        <w:t xml:space="preserve">3.4.3    </w:t>
      </w:r>
      <w:r>
        <w:rPr>
          <w:rFonts w:ascii="宋体" w:hAnsi="宋体" w:eastAsia="宋体" w:cs="宋体"/>
          <w:strike/>
          <w:spacing w:val="-1"/>
          <w:sz w:val="24"/>
          <w:szCs w:val="24"/>
        </w:rPr>
        <w:t>可调托撑受压承载力设计值不应小于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40kN</w:t>
      </w:r>
      <w:r>
        <w:rPr>
          <w:rFonts w:ascii="宋体" w:hAnsi="宋体" w:eastAsia="宋体" w:cs="宋体"/>
          <w:strike/>
          <w:spacing w:val="-1"/>
          <w:sz w:val="24"/>
          <w:szCs w:val="24"/>
        </w:rPr>
        <w:t>，支托板厚不应小于</w:t>
      </w:r>
      <w:r>
        <w:rPr>
          <w:rFonts w:ascii="宋体" w:hAnsi="宋体" w:eastAsia="宋体" w:cs="宋体"/>
          <w:strike/>
          <w:spacing w:val="-34"/>
          <w:sz w:val="24"/>
          <w:szCs w:val="24"/>
        </w:rPr>
        <w:t xml:space="preserve"> </w:t>
      </w:r>
      <w:r>
        <w:rPr>
          <w:rFonts w:ascii="Times New Roman" w:hAnsi="Times New Roman" w:eastAsia="Times New Roman" w:cs="Times New Roman"/>
          <w:strike/>
          <w:spacing w:val="-1"/>
          <w:sz w:val="24"/>
          <w:szCs w:val="24"/>
        </w:rPr>
        <w:t>5mm</w:t>
      </w:r>
      <w:r>
        <w:rPr>
          <w:rFonts w:ascii="Times New Roman" w:hAnsi="Times New Roman" w:eastAsia="Times New Roman" w:cs="Times New Roman"/>
          <w:strike/>
          <w:spacing w:val="-27"/>
          <w:sz w:val="24"/>
          <w:szCs w:val="24"/>
        </w:rPr>
        <w:t xml:space="preserve"> </w:t>
      </w:r>
      <w:r>
        <w:rPr>
          <w:rFonts w:ascii="宋体" w:hAnsi="宋体" w:eastAsia="宋体" w:cs="宋体"/>
          <w:strike/>
          <w:spacing w:val="-1"/>
          <w:sz w:val="24"/>
          <w:szCs w:val="24"/>
        </w:rPr>
        <w:t>。</w:t>
      </w:r>
    </w:p>
    <w:p w14:paraId="5C5F233B">
      <w:pPr>
        <w:spacing w:before="183" w:line="219" w:lineRule="auto"/>
        <w:ind w:left="6"/>
        <w:rPr>
          <w:rFonts w:ascii="宋体" w:hAnsi="宋体" w:eastAsia="宋体" w:cs="宋体"/>
          <w:sz w:val="24"/>
          <w:szCs w:val="24"/>
        </w:rPr>
        <w:sectPr>
          <w:footerReference r:id="rId74" w:type="default"/>
          <w:pgSz w:w="11907" w:h="16839"/>
          <w:pgMar w:top="400" w:right="1489" w:bottom="743" w:left="1421" w:header="0" w:footer="582" w:gutter="0"/>
          <w:cols w:space="720" w:num="1"/>
        </w:sectPr>
      </w:pPr>
      <w:r>
        <w:rPr>
          <w:rFonts w:ascii="Times New Roman" w:hAnsi="Times New Roman" w:eastAsia="Times New Roman" w:cs="Times New Roman"/>
          <w:strike/>
          <w:sz w:val="24"/>
          <w:szCs w:val="24"/>
        </w:rPr>
        <w:t xml:space="preserve">6.2.3    </w:t>
      </w:r>
      <w:r>
        <w:rPr>
          <w:rFonts w:ascii="宋体" w:hAnsi="宋体" w:eastAsia="宋体" w:cs="宋体"/>
          <w:strike/>
          <w:sz w:val="24"/>
          <w:szCs w:val="24"/>
        </w:rPr>
        <w:t>主节点处必须设置</w:t>
      </w:r>
      <w:r>
        <w:rPr>
          <w:rFonts w:ascii="宋体" w:hAnsi="宋体" w:eastAsia="宋体" w:cs="宋体"/>
          <w:sz w:val="24"/>
          <w:szCs w:val="24"/>
        </w:rPr>
        <w:t>一</w:t>
      </w:r>
      <w:r>
        <w:rPr>
          <w:rFonts w:ascii="宋体" w:hAnsi="宋体" w:eastAsia="宋体" w:cs="宋体"/>
          <w:strike/>
          <w:sz w:val="24"/>
          <w:szCs w:val="24"/>
        </w:rPr>
        <w:t>根横向水平杆，用</w:t>
      </w:r>
      <w:r>
        <w:rPr>
          <w:rFonts w:ascii="宋体" w:hAnsi="宋体" w:eastAsia="宋体" w:cs="宋体"/>
          <w:strike/>
          <w:spacing w:val="-1"/>
          <w:sz w:val="24"/>
          <w:szCs w:val="24"/>
        </w:rPr>
        <w:t>直角扣件扣接且严禁拆除。</w:t>
      </w:r>
      <w:bookmarkStart w:id="102" w:name="_GoBack"/>
      <w:bookmarkEnd w:id="102"/>
    </w:p>
    <w:p w14:paraId="030CE872">
      <w:pPr>
        <w:tabs>
          <w:tab w:val="right" w:leader="dot" w:pos="9062"/>
        </w:tabs>
        <w:spacing w:before="152" w:line="289" w:lineRule="exact"/>
        <w:rPr>
          <w:rFonts w:ascii="等线" w:hAnsi="等线" w:eastAsia="等线" w:cs="等线"/>
          <w:sz w:val="20"/>
          <w:szCs w:val="20"/>
        </w:rPr>
      </w:pPr>
    </w:p>
    <w:sectPr>
      <w:headerReference r:id="rId75" w:type="default"/>
      <w:footerReference r:id="rId76" w:type="default"/>
      <w:pgSz w:w="11907" w:h="16839"/>
      <w:pgMar w:top="400" w:right="1425" w:bottom="743" w:left="1418" w:header="0" w:footer="5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LiSu">
    <w:altName w:val="宋体"/>
    <w:panose1 w:val="0201050906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A360D">
    <w:pPr>
      <w:spacing w:line="174" w:lineRule="auto"/>
      <w:ind w:left="447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C66AB">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7CAF5">
    <w:pPr>
      <w:spacing w:line="174" w:lineRule="auto"/>
      <w:ind w:left="460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ABDD1">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3244B">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7D4B6">
    <w:pPr>
      <w:spacing w:line="174" w:lineRule="auto"/>
      <w:ind w:left="447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0B7CC">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4DC40">
    <w:pPr>
      <w:spacing w:line="174"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36F36">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1FB9C">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D0BDD">
    <w:pPr>
      <w:spacing w:line="174"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FA165">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DFA35">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AA7E1">
    <w:pPr>
      <w:spacing w:line="171"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9AE82">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BC241">
    <w:pPr>
      <w:spacing w:before="1" w:line="231" w:lineRule="auto"/>
      <w:ind w:left="4479"/>
      <w:rPr>
        <w:rFonts w:ascii="宋体" w:hAnsi="宋体" w:eastAsia="宋体" w:cs="宋体"/>
        <w:sz w:val="24"/>
        <w:szCs w:val="24"/>
      </w:rPr>
    </w:pPr>
    <w:r>
      <w:rPr>
        <w:rFonts w:ascii="宋体" w:hAnsi="宋体" w:eastAsia="宋体" w:cs="宋体"/>
        <w:spacing w:val="-5"/>
        <w:w w:val="44"/>
        <w:sz w:val="24"/>
        <w:szCs w:val="24"/>
      </w:rPr>
      <w:t>—</w:t>
    </w:r>
    <w:r>
      <w:rPr>
        <w:rFonts w:ascii="宋体" w:hAnsi="宋体" w:eastAsia="宋体" w:cs="宋体"/>
        <w:spacing w:val="-19"/>
        <w:w w:val="83"/>
        <w:sz w:val="24"/>
        <w:szCs w:val="24"/>
      </w:rPr>
      <w:t>77—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136B4">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97BA4">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17EB">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7CA0C">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25369">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-82-</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B9A21">
    <w:pPr>
      <w:spacing w:before="1" w:line="170" w:lineRule="auto"/>
      <w:ind w:left="4479"/>
      <w:rPr>
        <w:rFonts w:ascii="Times New Roman" w:hAnsi="Times New Roman" w:eastAsia="Times New Roman" w:cs="Times New Roman"/>
        <w:sz w:val="20"/>
        <w:szCs w:val="20"/>
      </w:rPr>
    </w:pPr>
    <w:r>
      <w:rPr>
        <w:rFonts w:ascii="宋体" w:hAnsi="宋体" w:eastAsia="宋体" w:cs="宋体"/>
        <w:spacing w:val="-3"/>
        <w:w w:val="32"/>
        <w:sz w:val="20"/>
        <w:szCs w:val="20"/>
      </w:rPr>
      <w:t>—</w:t>
    </w:r>
    <w:r>
      <w:rPr>
        <w:rFonts w:ascii="Times New Roman" w:hAnsi="Times New Roman" w:eastAsia="Times New Roman" w:cs="Times New Roman"/>
        <w:color w:val="205070"/>
        <w:spacing w:val="-10"/>
        <w:w w:val="87"/>
        <w:sz w:val="20"/>
        <w:szCs w:val="20"/>
      </w:rPr>
      <w:t>83—</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71605">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-84-</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64A42">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-85-</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37B4A">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-86-</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3D809">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-87-</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97002">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-88-</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D5A2F">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-89-</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C973E">
    <w:pPr>
      <w:spacing w:before="1" w:line="231" w:lineRule="auto"/>
      <w:ind w:left="4489"/>
      <w:rPr>
        <w:rFonts w:ascii="宋体" w:hAnsi="宋体" w:eastAsia="宋体" w:cs="宋体"/>
        <w:sz w:val="24"/>
        <w:szCs w:val="24"/>
      </w:rPr>
    </w:pPr>
    <w:r>
      <w:rPr>
        <w:rFonts w:ascii="宋体" w:hAnsi="宋体" w:eastAsia="宋体" w:cs="宋体"/>
        <w:color w:val="304030"/>
        <w:spacing w:val="-5"/>
        <w:w w:val="44"/>
        <w:sz w:val="24"/>
        <w:szCs w:val="24"/>
      </w:rPr>
      <w:t>—</w:t>
    </w:r>
    <w:r>
      <w:rPr>
        <w:rFonts w:ascii="宋体" w:hAnsi="宋体" w:eastAsia="宋体" w:cs="宋体"/>
        <w:color w:val="304030"/>
        <w:spacing w:val="-14"/>
        <w:w w:val="80"/>
        <w:sz w:val="24"/>
        <w:szCs w:val="24"/>
      </w:rPr>
      <w:t>90—</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8A23A">
    <w:pPr>
      <w:spacing w:line="176"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19"/>
        <w:w w:val="43"/>
        <w:sz w:val="18"/>
        <w:szCs w:val="18"/>
      </w:rPr>
      <w:t>—</w:t>
    </w:r>
    <w:r>
      <w:rPr>
        <w:rFonts w:ascii="Times New Roman" w:hAnsi="Times New Roman" w:eastAsia="Times New Roman" w:cs="Times New Roman"/>
        <w:color w:val="205060"/>
        <w:spacing w:val="-1"/>
        <w:sz w:val="18"/>
        <w:szCs w:val="18"/>
      </w:rPr>
      <w:t>9</w:t>
    </w:r>
    <w:r>
      <w:rPr>
        <w:rFonts w:ascii="Times New Roman" w:hAnsi="Times New Roman" w:eastAsia="Times New Roman" w:cs="Times New Roman"/>
        <w:color w:val="206090"/>
        <w:spacing w:val="-1"/>
        <w:sz w:val="18"/>
        <w:szCs w:val="18"/>
      </w:rPr>
      <w:t>1</w:t>
    </w:r>
    <w:r>
      <w:rPr>
        <w:rFonts w:ascii="Times New Roman" w:hAnsi="Times New Roman" w:eastAsia="Times New Roman" w:cs="Times New Roman"/>
        <w:color w:val="205060"/>
        <w:spacing w:val="-1"/>
        <w:sz w:val="18"/>
        <w:szCs w:val="18"/>
      </w:rPr>
      <w:t>—</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CEC8D">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-92-</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8DAD1">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-93-</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CD2EB">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-94-</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9436D">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-95-</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A2ABF">
    <w:pPr>
      <w:spacing w:line="174" w:lineRule="auto"/>
      <w:ind w:left="473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-96-</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C2DD7">
    <w:pPr>
      <w:spacing w:line="174" w:lineRule="auto"/>
      <w:ind w:left="473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-97-</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58196">
    <w:pPr>
      <w:spacing w:line="174"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-98-</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7C5D7">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-99-</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68B27">
    <w:pPr>
      <w:spacing w:line="174" w:lineRule="auto"/>
      <w:ind w:left="473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-100-</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9F581">
    <w:pPr>
      <w:spacing w:line="174" w:lineRule="auto"/>
      <w:ind w:left="45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67F32">
    <w:pPr>
      <w:spacing w:line="174" w:lineRule="auto"/>
      <w:ind w:left="45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-102-</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B7D7">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-103-</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1691">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-104-</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108A6">
    <w:pPr>
      <w:spacing w:line="174" w:lineRule="auto"/>
      <w:ind w:left="44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-105-</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B9E33">
    <w:pPr>
      <w:spacing w:line="174" w:lineRule="auto"/>
      <w:ind w:left="44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-106-</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2F524">
    <w:pPr>
      <w:spacing w:line="174" w:lineRule="auto"/>
      <w:ind w:left="44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-107-</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DD741">
    <w:pPr>
      <w:spacing w:line="174"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-108-</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BCDFB">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-109-</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72BEB">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-110-</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833EA">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-111-</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DCDF0">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-112-</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2AD4C">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-113-</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12EF2">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-114-</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06E87">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-115-</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7987F">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-116-</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C947F">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-117-</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1CAC6">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-118-</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AB557">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-119-</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D87BE">
    <w:pPr>
      <w:spacing w:line="174" w:lineRule="auto"/>
      <w:ind w:left="44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-120-</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C6D1A">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1AE98">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-122-</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C809">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-123-</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EA6BD">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-124-</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B59E3">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-125-</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213DF">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-126-</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858D7">
    <w:pPr>
      <w:spacing w:line="174" w:lineRule="auto"/>
      <w:ind w:left="44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-127-</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6EF8E">
    <w:pPr>
      <w:spacing w:line="174" w:lineRule="auto"/>
      <w:ind w:left="447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-128-</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74063">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-129-</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1FA7D">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-130-</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121F2">
    <w:pPr>
      <w:spacing w:line="174"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1E363">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1E363">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35239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6" Type="http://schemas.openxmlformats.org/officeDocument/2006/relationships/fontTable" Target="fontTable.xml"/><Relationship Id="rId95" Type="http://schemas.openxmlformats.org/officeDocument/2006/relationships/customXml" Target="../customXml/item1.xml"/><Relationship Id="rId94" Type="http://schemas.openxmlformats.org/officeDocument/2006/relationships/image" Target="media/image17.png"/><Relationship Id="rId93" Type="http://schemas.openxmlformats.org/officeDocument/2006/relationships/image" Target="media/image16.png"/><Relationship Id="rId92" Type="http://schemas.openxmlformats.org/officeDocument/2006/relationships/image" Target="media/image15.jpeg"/><Relationship Id="rId91" Type="http://schemas.openxmlformats.org/officeDocument/2006/relationships/image" Target="media/image14.png"/><Relationship Id="rId90" Type="http://schemas.openxmlformats.org/officeDocument/2006/relationships/image" Target="media/image13.png"/><Relationship Id="rId9" Type="http://schemas.openxmlformats.org/officeDocument/2006/relationships/footer" Target="footer4.xml"/><Relationship Id="rId89" Type="http://schemas.openxmlformats.org/officeDocument/2006/relationships/image" Target="media/image12.png"/><Relationship Id="rId88" Type="http://schemas.openxmlformats.org/officeDocument/2006/relationships/image" Target="media/image11.png"/><Relationship Id="rId87" Type="http://schemas.openxmlformats.org/officeDocument/2006/relationships/image" Target="media/image10.png"/><Relationship Id="rId86" Type="http://schemas.openxmlformats.org/officeDocument/2006/relationships/image" Target="media/image9.png"/><Relationship Id="rId85" Type="http://schemas.openxmlformats.org/officeDocument/2006/relationships/image" Target="media/image8.png"/><Relationship Id="rId84" Type="http://schemas.openxmlformats.org/officeDocument/2006/relationships/image" Target="media/image7.png"/><Relationship Id="rId83" Type="http://schemas.openxmlformats.org/officeDocument/2006/relationships/image" Target="media/image6.jpeg"/><Relationship Id="rId82" Type="http://schemas.openxmlformats.org/officeDocument/2006/relationships/image" Target="media/image5.png"/><Relationship Id="rId81" Type="http://schemas.openxmlformats.org/officeDocument/2006/relationships/image" Target="media/image4.png"/><Relationship Id="rId80" Type="http://schemas.openxmlformats.org/officeDocument/2006/relationships/image" Target="media/image3.png"/><Relationship Id="rId8" Type="http://schemas.openxmlformats.org/officeDocument/2006/relationships/footer" Target="footer3.xml"/><Relationship Id="rId79" Type="http://schemas.openxmlformats.org/officeDocument/2006/relationships/image" Target="media/image2.png"/><Relationship Id="rId78" Type="http://schemas.openxmlformats.org/officeDocument/2006/relationships/image" Target="media/image1.png"/><Relationship Id="rId77" Type="http://schemas.openxmlformats.org/officeDocument/2006/relationships/theme" Target="theme/theme1.xml"/><Relationship Id="rId76" Type="http://schemas.openxmlformats.org/officeDocument/2006/relationships/footer" Target="footer70.xml"/><Relationship Id="rId75" Type="http://schemas.openxmlformats.org/officeDocument/2006/relationships/header" Target="header2.xml"/><Relationship Id="rId74" Type="http://schemas.openxmlformats.org/officeDocument/2006/relationships/footer" Target="footer69.xml"/><Relationship Id="rId73" Type="http://schemas.openxmlformats.org/officeDocument/2006/relationships/footer" Target="footer68.xml"/><Relationship Id="rId72" Type="http://schemas.openxmlformats.org/officeDocument/2006/relationships/footer" Target="footer67.xml"/><Relationship Id="rId71" Type="http://schemas.openxmlformats.org/officeDocument/2006/relationships/footer" Target="footer66.xml"/><Relationship Id="rId70" Type="http://schemas.openxmlformats.org/officeDocument/2006/relationships/footer" Target="footer65.xml"/><Relationship Id="rId7" Type="http://schemas.openxmlformats.org/officeDocument/2006/relationships/footer" Target="footer2.xml"/><Relationship Id="rId69" Type="http://schemas.openxmlformats.org/officeDocument/2006/relationships/footer" Target="footer64.xml"/><Relationship Id="rId68" Type="http://schemas.openxmlformats.org/officeDocument/2006/relationships/footer" Target="footer63.xml"/><Relationship Id="rId67" Type="http://schemas.openxmlformats.org/officeDocument/2006/relationships/footer" Target="footer62.xml"/><Relationship Id="rId66" Type="http://schemas.openxmlformats.org/officeDocument/2006/relationships/footer" Target="footer61.xml"/><Relationship Id="rId65" Type="http://schemas.openxmlformats.org/officeDocument/2006/relationships/footer" Target="footer60.xml"/><Relationship Id="rId64" Type="http://schemas.openxmlformats.org/officeDocument/2006/relationships/footer" Target="footer59.xml"/><Relationship Id="rId63" Type="http://schemas.openxmlformats.org/officeDocument/2006/relationships/footer" Target="footer58.xml"/><Relationship Id="rId62" Type="http://schemas.openxmlformats.org/officeDocument/2006/relationships/footer" Target="footer57.xml"/><Relationship Id="rId61" Type="http://schemas.openxmlformats.org/officeDocument/2006/relationships/footer" Target="footer56.xml"/><Relationship Id="rId60" Type="http://schemas.openxmlformats.org/officeDocument/2006/relationships/footer" Target="footer55.xml"/><Relationship Id="rId6" Type="http://schemas.openxmlformats.org/officeDocument/2006/relationships/footer" Target="footer1.xml"/><Relationship Id="rId59" Type="http://schemas.openxmlformats.org/officeDocument/2006/relationships/footer" Target="footer54.xml"/><Relationship Id="rId58" Type="http://schemas.openxmlformats.org/officeDocument/2006/relationships/footer" Target="footer53.xml"/><Relationship Id="rId57" Type="http://schemas.openxmlformats.org/officeDocument/2006/relationships/footer" Target="footer52.xml"/><Relationship Id="rId56" Type="http://schemas.openxmlformats.org/officeDocument/2006/relationships/footer" Target="footer51.xml"/><Relationship Id="rId55" Type="http://schemas.openxmlformats.org/officeDocument/2006/relationships/footer" Target="footer50.xml"/><Relationship Id="rId54" Type="http://schemas.openxmlformats.org/officeDocument/2006/relationships/footer" Target="footer49.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header" Target="header1.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70</Pages>
  <Words>5002</Words>
  <Characters>8571</Characters>
  <TotalTime>2</TotalTime>
  <ScaleCrop>false</ScaleCrop>
  <LinksUpToDate>false</LinksUpToDate>
  <CharactersWithSpaces>10082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2026-09-08T15:38:00Z</dcterms:created>
  <dc:creator>Administrator</dc:creator>
  <cp:lastModifiedBy>Live and Learn</cp:lastModifiedBy>
  <dcterms:modified xsi:type="dcterms:W3CDTF">2026-09-08T07:46:29Z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2026-09-08T15:39:27Z</vt:filetime>
  </property>
  <property fmtid="{D5CDD505-2E9C-101B-9397-08002B2CF9AE}" pid="4" name="UsrData">
    <vt:lpwstr>6a9fbb8ad4949c002032d291wl</vt:lpwstr>
  </property>
  <property fmtid="{D5CDD505-2E9C-101B-9397-08002B2CF9AE}" pid="5" name="KSOTemplateDocerSaveRecord">
    <vt:lpwstr>eyJoZGlkIjoiYTUwNGQzMTY5NTg2YzljZTdhY2RiMjE2ZWJmMDRlYjQiLCJ1c2VySWQiOiI2NjU4ODkzMzQifQ==</vt:lpwstr>
  </property>
  <property fmtid="{D5CDD505-2E9C-101B-9397-08002B2CF9AE}" pid="6" name="KSOProductBuildVer">
    <vt:lpwstr>2052-12.1.0.28505</vt:lpwstr>
  </property>
  <property fmtid="{D5CDD505-2E9C-101B-9397-08002B2CF9AE}" pid="7" name="ICV">
    <vt:lpwstr>419CF74253A648C78A3236A9AABD5F77_13</vt:lpwstr>
  </property>
</Properties>
</file>